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E0A6" w14:textId="75C8EA7F" w:rsidR="00B65E91" w:rsidRDefault="008C3248" w:rsidP="00ED244D">
      <w:pPr>
        <w:ind w:firstLine="720"/>
        <w:jc w:val="center"/>
        <w:rPr>
          <w:sz w:val="24"/>
          <w:szCs w:val="24"/>
        </w:rPr>
      </w:pPr>
      <w:r w:rsidRPr="008C3248">
        <w:rPr>
          <w:b/>
          <w:bCs/>
          <w:sz w:val="24"/>
          <w:szCs w:val="24"/>
          <w:u w:val="single"/>
        </w:rPr>
        <w:t>Peasant Women and Property: A Hampshire Case Study, c.1300-c.140</w:t>
      </w:r>
      <w:r>
        <w:rPr>
          <w:b/>
          <w:bCs/>
          <w:sz w:val="24"/>
          <w:szCs w:val="24"/>
          <w:u w:val="single"/>
        </w:rPr>
        <w:t>0</w:t>
      </w:r>
    </w:p>
    <w:p w14:paraId="1AC5107F" w14:textId="4CF0BB34" w:rsidR="008C3248" w:rsidRDefault="008C3248" w:rsidP="008C3248">
      <w:pPr>
        <w:jc w:val="center"/>
        <w:rPr>
          <w:sz w:val="24"/>
          <w:szCs w:val="24"/>
        </w:rPr>
      </w:pPr>
      <w:r>
        <w:rPr>
          <w:sz w:val="24"/>
          <w:szCs w:val="24"/>
        </w:rPr>
        <w:t>Emily Bolton, University of Southampton</w:t>
      </w:r>
    </w:p>
    <w:p w14:paraId="2C7D6C6A" w14:textId="77777777" w:rsidR="00152529" w:rsidRDefault="00152529" w:rsidP="00152529">
      <w:pPr>
        <w:rPr>
          <w:sz w:val="24"/>
          <w:szCs w:val="24"/>
        </w:rPr>
      </w:pPr>
    </w:p>
    <w:p w14:paraId="012AC5CA" w14:textId="59F3B79B" w:rsidR="00AE3552" w:rsidRPr="00340D24" w:rsidRDefault="00AE3552" w:rsidP="00340D24">
      <w:pPr>
        <w:pStyle w:val="Heading1"/>
      </w:pPr>
      <w:r w:rsidRPr="00340D24">
        <w:t>Paper</w:t>
      </w:r>
      <w:r w:rsidR="00CC30AA">
        <w:t xml:space="preserve"> – wordcount: 2,</w:t>
      </w:r>
      <w:r w:rsidR="00DA556B">
        <w:t>729</w:t>
      </w:r>
    </w:p>
    <w:p w14:paraId="41A2C8A7" w14:textId="2D6DD812" w:rsidR="00AE3552" w:rsidRDefault="00AE3552" w:rsidP="00DF1838">
      <w:r>
        <w:rPr>
          <w:b/>
          <w:bCs/>
          <w:u w:val="single"/>
        </w:rPr>
        <w:t>Introduction</w:t>
      </w:r>
    </w:p>
    <w:p w14:paraId="557D47C8" w14:textId="77777777" w:rsidR="00674405" w:rsidRDefault="00D2010E" w:rsidP="002839D6">
      <w:r>
        <w:t xml:space="preserve">Studies of </w:t>
      </w:r>
      <w:r w:rsidR="00B30827">
        <w:t xml:space="preserve">peasants and land have rarely </w:t>
      </w:r>
      <w:r w:rsidR="00FC32C3">
        <w:t>considered</w:t>
      </w:r>
      <w:r w:rsidR="00B30827">
        <w:t xml:space="preserve"> the differences</w:t>
      </w:r>
      <w:r w:rsidR="00D77916">
        <w:t xml:space="preserve"> in landholding</w:t>
      </w:r>
      <w:r w:rsidR="00B30827">
        <w:t xml:space="preserve"> caused by gender. This paper seeks to </w:t>
      </w:r>
      <w:r w:rsidR="00986CD5">
        <w:t xml:space="preserve">remedy this by investigating the experience of peasant women in Hampshire across four manors, using court rolls, custumals, and rentals. </w:t>
      </w:r>
      <w:r w:rsidR="002A6F02">
        <w:t>Research on Hampshire’s peasant land market has focused exclusively on the Bishop of Winchester’s estate (</w:t>
      </w:r>
      <w:r w:rsidR="002514D5">
        <w:t>Mullan and Britnell, 2010;</w:t>
      </w:r>
      <w:r w:rsidR="003B79C5">
        <w:t xml:space="preserve"> Page, 2003)</w:t>
      </w:r>
      <w:r w:rsidR="002A33C6">
        <w:t xml:space="preserve">, which was unusual in several respects, therefore this paper seeks to expand </w:t>
      </w:r>
      <w:r w:rsidR="009D0009">
        <w:t>the study of the land practices of Hampshire’s peasants into other estates.</w:t>
      </w:r>
    </w:p>
    <w:p w14:paraId="6CBFD7DA" w14:textId="28E20184" w:rsidR="00AE3552" w:rsidRDefault="000017C0" w:rsidP="00E55853">
      <w:r>
        <w:t>Due to a largely “androcentric” (Hubbs Wright, 2018: 1) h</w:t>
      </w:r>
      <w:r w:rsidR="0013364A">
        <w:t>istoriography of peasant landholding practices</w:t>
      </w:r>
      <w:r>
        <w:t xml:space="preserve">, there has only been one study </w:t>
      </w:r>
      <w:r w:rsidR="00EB3616">
        <w:t>focusing on peasant women’s inheritance practices (Bardsley, 2014).</w:t>
      </w:r>
      <w:r w:rsidR="00D80F54">
        <w:t xml:space="preserve"> Broader studies of peasant tenancies have </w:t>
      </w:r>
      <w:r w:rsidR="00BD1AD7">
        <w:t>led to estimates (Titow, 1969:</w:t>
      </w:r>
      <w:r w:rsidR="00590A22">
        <w:t xml:space="preserve"> </w:t>
      </w:r>
      <w:r w:rsidR="00BD1AD7">
        <w:t xml:space="preserve">87) that </w:t>
      </w:r>
      <w:r w:rsidR="00590A22">
        <w:t>9-15 percent of tenants were women</w:t>
      </w:r>
      <w:r w:rsidR="00725983">
        <w:t xml:space="preserve">, which has been supported in subsequent studies (Faith, 1984: 160; DeWindt, </w:t>
      </w:r>
      <w:r w:rsidR="00B40C4F">
        <w:t>1972: 55</w:t>
      </w:r>
      <w:r w:rsidR="00702BBE">
        <w:t xml:space="preserve">; </w:t>
      </w:r>
      <w:r w:rsidR="002839D6">
        <w:t>Bardsley, 2014: 302</w:t>
      </w:r>
      <w:r w:rsidR="00B40C4F">
        <w:t>)</w:t>
      </w:r>
      <w:r w:rsidR="007C23A7">
        <w:t>.</w:t>
      </w:r>
      <w:r w:rsidR="00627E02">
        <w:t xml:space="preserve"> </w:t>
      </w:r>
      <w:r w:rsidR="00457EF3">
        <w:t xml:space="preserve">Other studies have supported this c. 1250-c. 1350 but with a decline </w:t>
      </w:r>
      <w:r w:rsidR="00E55853">
        <w:t xml:space="preserve">thereafter, although these manors also struggled with </w:t>
      </w:r>
      <w:r w:rsidR="00B41888">
        <w:t>depopulation</w:t>
      </w:r>
      <w:r w:rsidR="00E55853">
        <w:t xml:space="preserve"> </w:t>
      </w:r>
      <w:r w:rsidR="00F13E1E">
        <w:t>(Campbell, 2001: 96; McIntosh, 1986: 171-3).</w:t>
      </w:r>
      <w:r w:rsidR="00F13E1E">
        <w:rPr>
          <w:rStyle w:val="FootnoteReference"/>
        </w:rPr>
        <w:footnoteReference w:id="1"/>
      </w:r>
      <w:r w:rsidR="0012231D">
        <w:t xml:space="preserve"> </w:t>
      </w:r>
      <w:r w:rsidR="00702EFB">
        <w:t xml:space="preserve">This paper will not only analyse the proportion of female tenants across </w:t>
      </w:r>
      <w:r w:rsidR="0012231D">
        <w:t>four Hampshire manors</w:t>
      </w:r>
      <w:r w:rsidR="00702EFB">
        <w:t xml:space="preserve">, but </w:t>
      </w:r>
      <w:r w:rsidR="00AF3D12">
        <w:t xml:space="preserve">it will also consider how differences in customary law could affect women’s relationships with landholding. </w:t>
      </w:r>
    </w:p>
    <w:p w14:paraId="48C0CDEF" w14:textId="77777777" w:rsidR="00443F34" w:rsidRPr="002E25A5" w:rsidRDefault="00443F34" w:rsidP="00443F34">
      <w:r>
        <w:rPr>
          <w:b/>
          <w:bCs/>
          <w:u w:val="single"/>
        </w:rPr>
        <w:t>Data</w:t>
      </w:r>
    </w:p>
    <w:p w14:paraId="59DD2FD9" w14:textId="69D3EE92" w:rsidR="00E16B4D" w:rsidRDefault="00443F34" w:rsidP="00E16B4D">
      <w:r>
        <w:t xml:space="preserve">This paper uses 274 court rolls and five custumals and rentals from four manors across Hampshire: Southwick, Chilbolton, Houghton, and Michelmersh. </w:t>
      </w:r>
      <w:r w:rsidR="00CE7C28">
        <w:t>Custumals and rentals are largely similar documents which act as ‘snapshots’ into the current tenants of a manor, with details of their rents and potentially services owed to their lord</w:t>
      </w:r>
      <w:r w:rsidR="00E16B4D">
        <w:t xml:space="preserve">. They are a valuable supplement to court rolls, </w:t>
      </w:r>
      <w:r w:rsidR="00923EA8">
        <w:t>where</w:t>
      </w:r>
      <w:r w:rsidR="00E16B4D">
        <w:t xml:space="preserve"> it is estimated that 40 percent of tenants never appeared (Poos and Smith, 1984: 135).</w:t>
      </w:r>
      <w:r w:rsidR="00331C76">
        <w:t xml:space="preserve"> </w:t>
      </w:r>
      <w:r w:rsidR="00E16B4D">
        <w:t xml:space="preserve">Court rolls were the records of each manorial court, which could be held as frequently as once a month, </w:t>
      </w:r>
      <w:r w:rsidR="00923EA8">
        <w:t>although most surviving rolls cover one of the two main sessions held each year</w:t>
      </w:r>
      <w:r w:rsidR="00E16B4D">
        <w:t xml:space="preserve">. These courts covered several issues including trespass, the </w:t>
      </w:r>
      <w:r w:rsidR="00A869D0">
        <w:t>bread and ale assizes</w:t>
      </w:r>
      <w:r w:rsidR="00E16B4D">
        <w:t xml:space="preserve">, the hue and cry, and lawsuits between tenants. </w:t>
      </w:r>
    </w:p>
    <w:p w14:paraId="35069DB6" w14:textId="5049E873" w:rsidR="00E16B4D" w:rsidRDefault="00E16B4D" w:rsidP="00443F34">
      <w:r>
        <w:t xml:space="preserve">Southwick possesses the largest number of extant rolls across this period, with an almost continuous stretch of rolls between 1308 and 1411. Houghton and Michelmersh cover the years 1267 to 1325 and 1331 respectively, with the 1290s to mid-1310s having the most coverage of rolls within that period. Chilbolton’s records also begin in 1267 but extend to 1384, although this coverage is very fragmentary after the mid-1310s. </w:t>
      </w:r>
    </w:p>
    <w:p w14:paraId="4EFD4048" w14:textId="6315042F" w:rsidR="00CE0DCB" w:rsidRDefault="00CE7C28" w:rsidP="00443F34">
      <w:r>
        <w:t>Southwick was owned by the Priory of Southwick,</w:t>
      </w:r>
      <w:r w:rsidR="00354D89">
        <w:t xml:space="preserve"> which was originally located in Portchester before moving into Southwick </w:t>
      </w:r>
      <w:r w:rsidR="00490DA7">
        <w:t>circa 1150.</w:t>
      </w:r>
      <w:r>
        <w:t xml:space="preserve"> </w:t>
      </w:r>
      <w:r w:rsidR="00270AA3">
        <w:t xml:space="preserve">Chilbolton, Houghton, and Michelmersh were all </w:t>
      </w:r>
      <w:r w:rsidR="00270AA3">
        <w:lastRenderedPageBreak/>
        <w:t xml:space="preserve">owned by the Priory of St Swithun in Winchester, </w:t>
      </w:r>
      <w:r w:rsidR="006458D4">
        <w:t xml:space="preserve">and the three manors have four custumals during this period. </w:t>
      </w:r>
      <w:r w:rsidR="00DB343C">
        <w:t xml:space="preserve">Two manors have </w:t>
      </w:r>
      <w:r w:rsidR="00AA4555">
        <w:t xml:space="preserve">multiple such documents – Chilbolton for each half of its manor, and Southwick for 1352 and 1396 respectively. </w:t>
      </w:r>
    </w:p>
    <w:p w14:paraId="0C633DF4" w14:textId="66BA3470" w:rsidR="00836E83" w:rsidRDefault="005605A7" w:rsidP="00443F34">
      <w:r>
        <w:t xml:space="preserve">Women’s marital status is rarely made explicit in </w:t>
      </w:r>
      <w:r w:rsidR="00A869D0">
        <w:t>any of these</w:t>
      </w:r>
      <w:r>
        <w:t xml:space="preserve"> records</w:t>
      </w:r>
      <w:r w:rsidR="00A869D0">
        <w:t>, even for those married women who appeared in the ale assizes</w:t>
      </w:r>
      <w:r>
        <w:t xml:space="preserve">. </w:t>
      </w:r>
      <w:r w:rsidR="00F81822">
        <w:t xml:space="preserve">In the case of one widow, Matilda Hayron, she </w:t>
      </w:r>
      <w:r w:rsidR="00836E83">
        <w:t>initially appeared</w:t>
      </w:r>
      <w:r w:rsidR="00F81822">
        <w:t xml:space="preserve"> as </w:t>
      </w:r>
      <w:r w:rsidR="00744AA8">
        <w:t>Matilda, widow of Peter Hayron, in 1328</w:t>
      </w:r>
      <w:r w:rsidR="00FB2D5E">
        <w:t>, and as Matilda, wife of Hayron, in 1331</w:t>
      </w:r>
      <w:r w:rsidR="007D179F">
        <w:t xml:space="preserve">. </w:t>
      </w:r>
      <w:r w:rsidR="00FB2D5E">
        <w:t>In the same year, the scribes begin to regularly name her as Matilda Hayron, omitting any reference to her status as a widow or wife. Her marital status is referenced once more during a brief legal dispute in 134</w:t>
      </w:r>
      <w:r w:rsidR="008056EC">
        <w:t xml:space="preserve">4 where it was found that </w:t>
      </w:r>
      <w:r w:rsidR="00836E83">
        <w:t>she</w:t>
      </w:r>
      <w:r w:rsidR="008056EC">
        <w:t xml:space="preserve"> had remarried against the customs of the manor and that her land would be forfeit to her heir, her daughter Elena, who promptly rented the land out to her mother for the term of her life.</w:t>
      </w:r>
      <w:r w:rsidR="002A6637">
        <w:t xml:space="preserve"> Throughout the dispute, Matilda’s second husband remains unnamed and entirely absent from proceedings, and Matilda continue</w:t>
      </w:r>
      <w:r w:rsidR="00836E83">
        <w:t>d</w:t>
      </w:r>
      <w:r w:rsidR="002A6637">
        <w:t xml:space="preserve"> to appear in the courts until her death in 1360. Matilda Hayron is a rare example in Southwick’s records where a woman’s marital status </w:t>
      </w:r>
      <w:r w:rsidR="005E22C1">
        <w:t>was</w:t>
      </w:r>
      <w:r w:rsidR="002A6637">
        <w:t xml:space="preserve"> clear, and </w:t>
      </w:r>
      <w:r w:rsidR="001E4CDE">
        <w:t xml:space="preserve">this </w:t>
      </w:r>
      <w:r w:rsidR="005E22C1">
        <w:t>was the case</w:t>
      </w:r>
      <w:r w:rsidR="001E4CDE">
        <w:t xml:space="preserve"> throughout all four manors. A woman’s marital status </w:t>
      </w:r>
      <w:r w:rsidR="00836E83">
        <w:t xml:space="preserve">was most obvious if she </w:t>
      </w:r>
      <w:r w:rsidR="00AE3247">
        <w:t xml:space="preserve">was </w:t>
      </w:r>
      <w:r w:rsidR="00836E83">
        <w:t xml:space="preserve">married, </w:t>
      </w:r>
      <w:r w:rsidR="00AE3247">
        <w:t xml:space="preserve">either as an heiress or </w:t>
      </w:r>
      <w:r w:rsidR="00985CDE">
        <w:t>as a woman holding jointure with her husband</w:t>
      </w:r>
      <w:r w:rsidR="00836E83">
        <w:t xml:space="preserve">, or if she was a widow paying the same fine to </w:t>
      </w:r>
      <w:r w:rsidR="00B94844">
        <w:t xml:space="preserve">enter his land, but all other references are irregular at best. </w:t>
      </w:r>
    </w:p>
    <w:p w14:paraId="5104BD7E" w14:textId="03B2D602" w:rsidR="00676C8A" w:rsidRDefault="002D0C5E" w:rsidP="00443F34">
      <w:r>
        <w:rPr>
          <w:b/>
          <w:bCs/>
          <w:u w:val="single"/>
        </w:rPr>
        <w:t>Tenure and customary law</w:t>
      </w:r>
    </w:p>
    <w:p w14:paraId="2622AEAE" w14:textId="4B4C135F" w:rsidR="004F3DDE" w:rsidRDefault="00676C8A" w:rsidP="00AD1D65">
      <w:r>
        <w:t xml:space="preserve">Two types of tenure existed amongst peasants in Hampshire – free and unfree, or customary, tenure. </w:t>
      </w:r>
      <w:r w:rsidR="002B09D6">
        <w:t xml:space="preserve">Southwick </w:t>
      </w:r>
      <w:r w:rsidR="00093E8B">
        <w:t>omitted</w:t>
      </w:r>
      <w:r w:rsidR="002B09D6">
        <w:t xml:space="preserve"> the type of tenure from their rentals, </w:t>
      </w:r>
      <w:r w:rsidR="004F3DDE">
        <w:t>but</w:t>
      </w:r>
      <w:r w:rsidR="002B09D6">
        <w:t xml:space="preserve"> </w:t>
      </w:r>
      <w:r w:rsidR="004F3DDE">
        <w:t>required fines and services</w:t>
      </w:r>
      <w:r w:rsidR="00AD1D65">
        <w:t xml:space="preserve"> in the other manors</w:t>
      </w:r>
      <w:r w:rsidR="002B09D6">
        <w:t xml:space="preserve"> can be</w:t>
      </w:r>
      <w:r w:rsidR="00AD1D65">
        <w:t xml:space="preserve"> used to</w:t>
      </w:r>
      <w:r w:rsidR="002B09D6">
        <w:t xml:space="preserve"> </w:t>
      </w:r>
      <w:r w:rsidR="00AD1D65">
        <w:t>infer a tenant’s status in the other manors</w:t>
      </w:r>
      <w:r w:rsidR="004F3DDE">
        <w:t xml:space="preserve">. This is based on the traditionally unfree fines of merchet (a marriage fine) and heriot (the payment of a tenant’s best animal upon death), which were regularly included in St Swithun’s custumals and the latter of which often appeared in </w:t>
      </w:r>
      <w:r w:rsidR="00B41F7D">
        <w:t>all manors’</w:t>
      </w:r>
      <w:r w:rsidR="004F3DDE">
        <w:t xml:space="preserve"> court rolls. Heriot </w:t>
      </w:r>
      <w:r w:rsidR="00B41F7D">
        <w:t>makes it far easier to track the inheritance of unfree tenants than their free counterparts</w:t>
      </w:r>
      <w:r w:rsidR="007F0D3F">
        <w:t>, but also means that the court rolls cannot be assumed to be comprehensive.</w:t>
      </w:r>
      <w:r w:rsidR="0093328A">
        <w:t xml:space="preserve"> However, </w:t>
      </w:r>
      <w:r w:rsidR="00EE18C6">
        <w:t>the type of tenure was rarely recorded within the court rolls beyond the implication in cases of inheritance that included heriot, so this</w:t>
      </w:r>
      <w:r w:rsidR="00FB1AA8">
        <w:t xml:space="preserve"> is not included within this paper’s scope.</w:t>
      </w:r>
    </w:p>
    <w:p w14:paraId="2DADCDC9" w14:textId="77486F71" w:rsidR="00061AD1" w:rsidRPr="00676C8A" w:rsidRDefault="007F0D3F" w:rsidP="00680C54">
      <w:r>
        <w:t>Customary law varied widely between jurisdictions, whether between different manors or even halves of the same manor, as was the case in Chilbolton. It is difficult to know the nuances of customary law as it was</w:t>
      </w:r>
      <w:r w:rsidR="00C50CC4">
        <w:t xml:space="preserve"> recorded largely in custumals, which could be inaccurate to its practice, or occasionally in court rolls when specific aspects came under dispute. </w:t>
      </w:r>
      <w:r w:rsidR="00061AD1">
        <w:t>For instance, disputes in Southwick and Chilbolton show</w:t>
      </w:r>
      <w:r w:rsidR="00FB1AA8">
        <w:t>ed</w:t>
      </w:r>
      <w:r w:rsidR="00061AD1">
        <w:t xml:space="preserve"> that the youngest son was considered the natural heir, a tradition otherwise known as Borough English inheritance</w:t>
      </w:r>
      <w:r w:rsidR="00DD2EDC">
        <w:t xml:space="preserve"> (Faith, 1996: </w:t>
      </w:r>
      <w:r w:rsidR="00680C54">
        <w:t>82)</w:t>
      </w:r>
      <w:r w:rsidR="00061AD1">
        <w:t xml:space="preserve">, and this was likely the case in Houghton and Michelmersh too. This custom allowed older sons to look after their parent’s land during their youngest brother’s youth, gaining them experience as farmers while not tenants in their own right. It is unclear whether this extended to the youngest daughter in situations where a daughter inherited, but there are no instances of </w:t>
      </w:r>
      <w:r w:rsidR="00680C54">
        <w:t>the division of lands between daughters, as was the case under common law</w:t>
      </w:r>
      <w:r w:rsidR="00061AD1">
        <w:t xml:space="preserve">. Mavis Mate (1998)’s study of Sussex manors following the Black Death found that manors </w:t>
      </w:r>
      <w:r w:rsidR="00680C54">
        <w:t>that used</w:t>
      </w:r>
      <w:r w:rsidR="00061AD1">
        <w:t xml:space="preserve"> Borough English did so with both heirs and heiresses, which supports the notion that heiresses on these manors inherited the entirety of their parent’s property.</w:t>
      </w:r>
    </w:p>
    <w:p w14:paraId="2D4261E4" w14:textId="66307245" w:rsidR="00AE3552" w:rsidRDefault="005034F3" w:rsidP="00DF1838">
      <w:pPr>
        <w:rPr>
          <w:b/>
          <w:bCs/>
          <w:u w:val="single"/>
        </w:rPr>
      </w:pPr>
      <w:r>
        <w:rPr>
          <w:b/>
          <w:bCs/>
          <w:u w:val="single"/>
        </w:rPr>
        <w:t>Discussion</w:t>
      </w:r>
    </w:p>
    <w:p w14:paraId="0D8CC5A0" w14:textId="494A9984" w:rsidR="00AA51D1" w:rsidRDefault="00AA51D1" w:rsidP="00AA51D1">
      <w:pPr>
        <w:pStyle w:val="Caption"/>
        <w:keepNext/>
      </w:pPr>
      <w:r>
        <w:lastRenderedPageBreak/>
        <w:t xml:space="preserve">Table </w:t>
      </w:r>
      <w:r>
        <w:fldChar w:fldCharType="begin"/>
      </w:r>
      <w:r>
        <w:instrText xml:space="preserve"> SEQ Table \* ARABIC </w:instrText>
      </w:r>
      <w:r>
        <w:fldChar w:fldCharType="separate"/>
      </w:r>
      <w:r w:rsidR="00291F89">
        <w:rPr>
          <w:noProof/>
        </w:rPr>
        <w:t>1</w:t>
      </w:r>
      <w:r>
        <w:fldChar w:fldCharType="end"/>
      </w:r>
      <w:r>
        <w:t>: Tenants by gender in manorial custumals</w:t>
      </w:r>
      <w:r w:rsidR="00290625">
        <w:t xml:space="preserve"> and rentals</w:t>
      </w:r>
      <w:r>
        <w:t>.</w:t>
      </w:r>
    </w:p>
    <w:tbl>
      <w:tblPr>
        <w:tblStyle w:val="TableGrid"/>
        <w:tblW w:w="0" w:type="auto"/>
        <w:tblLook w:val="04A0" w:firstRow="1" w:lastRow="0" w:firstColumn="1" w:lastColumn="0" w:noHBand="0" w:noVBand="1"/>
      </w:tblPr>
      <w:tblGrid>
        <w:gridCol w:w="1987"/>
        <w:gridCol w:w="1571"/>
        <w:gridCol w:w="1817"/>
        <w:gridCol w:w="1770"/>
        <w:gridCol w:w="1871"/>
      </w:tblGrid>
      <w:tr w:rsidR="00AA51D1" w14:paraId="6DDB0A33" w14:textId="77777777" w:rsidTr="003517FC">
        <w:tc>
          <w:tcPr>
            <w:tcW w:w="1987" w:type="dxa"/>
          </w:tcPr>
          <w:p w14:paraId="6C863EF9" w14:textId="77777777" w:rsidR="00AA51D1" w:rsidRDefault="00AA51D1" w:rsidP="003517FC">
            <w:r>
              <w:t>Manor</w:t>
            </w:r>
          </w:p>
        </w:tc>
        <w:tc>
          <w:tcPr>
            <w:tcW w:w="1571" w:type="dxa"/>
          </w:tcPr>
          <w:p w14:paraId="752ACAF8" w14:textId="77777777" w:rsidR="00AA51D1" w:rsidRDefault="00AA51D1" w:rsidP="003517FC">
            <w:r>
              <w:t>Total tenants</w:t>
            </w:r>
          </w:p>
        </w:tc>
        <w:tc>
          <w:tcPr>
            <w:tcW w:w="1817" w:type="dxa"/>
          </w:tcPr>
          <w:p w14:paraId="05B97752" w14:textId="77777777" w:rsidR="00AA51D1" w:rsidRDefault="00AA51D1" w:rsidP="003517FC">
            <w:r>
              <w:t>Women</w:t>
            </w:r>
          </w:p>
        </w:tc>
        <w:tc>
          <w:tcPr>
            <w:tcW w:w="1770" w:type="dxa"/>
          </w:tcPr>
          <w:p w14:paraId="37233591" w14:textId="77777777" w:rsidR="00AA51D1" w:rsidRDefault="00AA51D1" w:rsidP="003517FC">
            <w:r>
              <w:t>Men</w:t>
            </w:r>
          </w:p>
        </w:tc>
        <w:tc>
          <w:tcPr>
            <w:tcW w:w="1871" w:type="dxa"/>
          </w:tcPr>
          <w:p w14:paraId="5CCADF07" w14:textId="77777777" w:rsidR="00AA51D1" w:rsidRDefault="00AA51D1" w:rsidP="003517FC">
            <w:r>
              <w:t>Unknown</w:t>
            </w:r>
          </w:p>
        </w:tc>
      </w:tr>
      <w:tr w:rsidR="00AA51D1" w14:paraId="0DCB0A41" w14:textId="77777777" w:rsidTr="003517FC">
        <w:tc>
          <w:tcPr>
            <w:tcW w:w="1987" w:type="dxa"/>
          </w:tcPr>
          <w:p w14:paraId="07232DA2" w14:textId="77777777" w:rsidR="00AA51D1" w:rsidRDefault="00AA51D1" w:rsidP="003517FC">
            <w:r>
              <w:t>Chilbolton Chamberlain (1261)</w:t>
            </w:r>
          </w:p>
        </w:tc>
        <w:tc>
          <w:tcPr>
            <w:tcW w:w="1571" w:type="dxa"/>
          </w:tcPr>
          <w:p w14:paraId="6B9A50ED" w14:textId="77777777" w:rsidR="00AA51D1" w:rsidRDefault="00AA51D1" w:rsidP="003517FC">
            <w:r>
              <w:t>19</w:t>
            </w:r>
          </w:p>
        </w:tc>
        <w:tc>
          <w:tcPr>
            <w:tcW w:w="1817" w:type="dxa"/>
          </w:tcPr>
          <w:p w14:paraId="1A1F9354" w14:textId="5679A97E" w:rsidR="00AA51D1" w:rsidRDefault="00AA51D1" w:rsidP="003517FC">
            <w:r>
              <w:t>10.5</w:t>
            </w:r>
            <w:r w:rsidR="00301E3F">
              <w:t xml:space="preserve">% </w:t>
            </w:r>
            <w:r>
              <w:t>(2)</w:t>
            </w:r>
          </w:p>
        </w:tc>
        <w:tc>
          <w:tcPr>
            <w:tcW w:w="1770" w:type="dxa"/>
          </w:tcPr>
          <w:p w14:paraId="4863C17A" w14:textId="7DCC60A3" w:rsidR="00AA51D1" w:rsidRDefault="00AA51D1" w:rsidP="003517FC">
            <w:r>
              <w:t>89.5</w:t>
            </w:r>
            <w:r w:rsidR="00301E3F">
              <w:t xml:space="preserve">% </w:t>
            </w:r>
            <w:r>
              <w:t>(17)</w:t>
            </w:r>
          </w:p>
        </w:tc>
        <w:tc>
          <w:tcPr>
            <w:tcW w:w="1871" w:type="dxa"/>
          </w:tcPr>
          <w:p w14:paraId="3602357F" w14:textId="77777777" w:rsidR="00AA51D1" w:rsidRDefault="00AA51D1" w:rsidP="003517FC">
            <w:r>
              <w:t>-</w:t>
            </w:r>
          </w:p>
        </w:tc>
      </w:tr>
      <w:tr w:rsidR="00AA51D1" w14:paraId="28C3B379" w14:textId="77777777" w:rsidTr="003517FC">
        <w:tc>
          <w:tcPr>
            <w:tcW w:w="1987" w:type="dxa"/>
          </w:tcPr>
          <w:p w14:paraId="41550D2C" w14:textId="77777777" w:rsidR="00AA51D1" w:rsidRDefault="00AA51D1" w:rsidP="003517FC">
            <w:r>
              <w:t>Chilbolton Prioris (c.1285)</w:t>
            </w:r>
          </w:p>
        </w:tc>
        <w:tc>
          <w:tcPr>
            <w:tcW w:w="1571" w:type="dxa"/>
          </w:tcPr>
          <w:p w14:paraId="76E7153E" w14:textId="77777777" w:rsidR="00AA51D1" w:rsidRDefault="00AA51D1" w:rsidP="003517FC">
            <w:r>
              <w:t>56</w:t>
            </w:r>
          </w:p>
        </w:tc>
        <w:tc>
          <w:tcPr>
            <w:tcW w:w="1817" w:type="dxa"/>
          </w:tcPr>
          <w:p w14:paraId="1A26D793" w14:textId="2A44F426" w:rsidR="00AA51D1" w:rsidRDefault="00AA51D1" w:rsidP="003517FC">
            <w:r>
              <w:t>16.7</w:t>
            </w:r>
            <w:r w:rsidR="00301E3F">
              <w:t xml:space="preserve">% </w:t>
            </w:r>
            <w:r>
              <w:t>(9)</w:t>
            </w:r>
          </w:p>
        </w:tc>
        <w:tc>
          <w:tcPr>
            <w:tcW w:w="1770" w:type="dxa"/>
          </w:tcPr>
          <w:p w14:paraId="5F28D32E" w14:textId="73656206" w:rsidR="00AA51D1" w:rsidRDefault="00AA51D1" w:rsidP="003517FC">
            <w:r>
              <w:t>83.3</w:t>
            </w:r>
            <w:r w:rsidR="00301E3F">
              <w:t xml:space="preserve">% </w:t>
            </w:r>
            <w:r>
              <w:t>(45)</w:t>
            </w:r>
          </w:p>
        </w:tc>
        <w:tc>
          <w:tcPr>
            <w:tcW w:w="1871" w:type="dxa"/>
          </w:tcPr>
          <w:p w14:paraId="3C3A6F11" w14:textId="77777777" w:rsidR="00AA51D1" w:rsidRDefault="00AA51D1" w:rsidP="003517FC">
            <w:r>
              <w:t>-</w:t>
            </w:r>
          </w:p>
        </w:tc>
      </w:tr>
      <w:tr w:rsidR="00AA51D1" w14:paraId="6BA41E68" w14:textId="77777777" w:rsidTr="003517FC">
        <w:tc>
          <w:tcPr>
            <w:tcW w:w="1987" w:type="dxa"/>
          </w:tcPr>
          <w:p w14:paraId="76C8E9B1" w14:textId="77777777" w:rsidR="00AA51D1" w:rsidRDefault="00AA51D1" w:rsidP="003517FC">
            <w:r>
              <w:t>Houghton (1304)</w:t>
            </w:r>
          </w:p>
        </w:tc>
        <w:tc>
          <w:tcPr>
            <w:tcW w:w="1571" w:type="dxa"/>
          </w:tcPr>
          <w:p w14:paraId="14BA291C" w14:textId="77777777" w:rsidR="00AA51D1" w:rsidRDefault="00AA51D1" w:rsidP="003517FC">
            <w:r>
              <w:t>46</w:t>
            </w:r>
          </w:p>
        </w:tc>
        <w:tc>
          <w:tcPr>
            <w:tcW w:w="1817" w:type="dxa"/>
          </w:tcPr>
          <w:p w14:paraId="44C7C9C0" w14:textId="5EED67F5" w:rsidR="00AA51D1" w:rsidRDefault="00AA51D1" w:rsidP="003517FC">
            <w:r>
              <w:t>15.4</w:t>
            </w:r>
            <w:r w:rsidR="00301E3F">
              <w:t xml:space="preserve">% </w:t>
            </w:r>
            <w:r>
              <w:t>(4)</w:t>
            </w:r>
          </w:p>
        </w:tc>
        <w:tc>
          <w:tcPr>
            <w:tcW w:w="1770" w:type="dxa"/>
          </w:tcPr>
          <w:p w14:paraId="3F939587" w14:textId="4D5FA398" w:rsidR="00AA51D1" w:rsidRDefault="00AA51D1" w:rsidP="003517FC">
            <w:r>
              <w:t>84.6</w:t>
            </w:r>
            <w:r w:rsidR="00301E3F">
              <w:t xml:space="preserve">% </w:t>
            </w:r>
            <w:r>
              <w:t>(22)</w:t>
            </w:r>
          </w:p>
        </w:tc>
        <w:tc>
          <w:tcPr>
            <w:tcW w:w="1871" w:type="dxa"/>
          </w:tcPr>
          <w:p w14:paraId="1BDC4086" w14:textId="77777777" w:rsidR="00AA51D1" w:rsidRDefault="00AA51D1" w:rsidP="003517FC">
            <w:r>
              <w:t>-</w:t>
            </w:r>
          </w:p>
        </w:tc>
      </w:tr>
      <w:tr w:rsidR="00AA51D1" w14:paraId="63F43078" w14:textId="77777777" w:rsidTr="003517FC">
        <w:tc>
          <w:tcPr>
            <w:tcW w:w="1987" w:type="dxa"/>
          </w:tcPr>
          <w:p w14:paraId="122F71CC" w14:textId="77777777" w:rsidR="00AA51D1" w:rsidRDefault="00AA51D1" w:rsidP="003517FC">
            <w:r>
              <w:t>Michelmersh (c.1316)</w:t>
            </w:r>
          </w:p>
        </w:tc>
        <w:tc>
          <w:tcPr>
            <w:tcW w:w="1571" w:type="dxa"/>
          </w:tcPr>
          <w:p w14:paraId="412D55E2" w14:textId="77777777" w:rsidR="00AA51D1" w:rsidRDefault="00AA51D1" w:rsidP="003517FC">
            <w:r>
              <w:t>74</w:t>
            </w:r>
          </w:p>
        </w:tc>
        <w:tc>
          <w:tcPr>
            <w:tcW w:w="1817" w:type="dxa"/>
          </w:tcPr>
          <w:p w14:paraId="0344907A" w14:textId="32115C7C" w:rsidR="00AA51D1" w:rsidRDefault="00AA51D1" w:rsidP="003517FC">
            <w:r>
              <w:t>16.2</w:t>
            </w:r>
            <w:r w:rsidR="00301E3F">
              <w:t xml:space="preserve">% </w:t>
            </w:r>
            <w:r>
              <w:t>(12)</w:t>
            </w:r>
          </w:p>
        </w:tc>
        <w:tc>
          <w:tcPr>
            <w:tcW w:w="1770" w:type="dxa"/>
          </w:tcPr>
          <w:p w14:paraId="786755D5" w14:textId="3E16317B" w:rsidR="00AA51D1" w:rsidRDefault="00AA51D1" w:rsidP="003517FC">
            <w:r>
              <w:t>64.9</w:t>
            </w:r>
            <w:r w:rsidR="00301E3F">
              <w:t xml:space="preserve">% </w:t>
            </w:r>
            <w:r>
              <w:t>(48)</w:t>
            </w:r>
          </w:p>
        </w:tc>
        <w:tc>
          <w:tcPr>
            <w:tcW w:w="1871" w:type="dxa"/>
          </w:tcPr>
          <w:p w14:paraId="2F54D175" w14:textId="0D8DD627" w:rsidR="00AA51D1" w:rsidRDefault="00AA51D1" w:rsidP="003517FC">
            <w:r>
              <w:t>18.9</w:t>
            </w:r>
            <w:r w:rsidR="00301E3F">
              <w:t xml:space="preserve">% </w:t>
            </w:r>
            <w:r>
              <w:t>(14)</w:t>
            </w:r>
          </w:p>
        </w:tc>
      </w:tr>
      <w:tr w:rsidR="00AA51D1" w14:paraId="32790834" w14:textId="77777777" w:rsidTr="003517FC">
        <w:tc>
          <w:tcPr>
            <w:tcW w:w="1987" w:type="dxa"/>
          </w:tcPr>
          <w:p w14:paraId="29F469ED" w14:textId="77777777" w:rsidR="00AA51D1" w:rsidRDefault="00AA51D1" w:rsidP="003517FC">
            <w:r>
              <w:t>Southwick (1352)</w:t>
            </w:r>
          </w:p>
        </w:tc>
        <w:tc>
          <w:tcPr>
            <w:tcW w:w="1571" w:type="dxa"/>
          </w:tcPr>
          <w:p w14:paraId="20906604" w14:textId="77777777" w:rsidR="00AA51D1" w:rsidRDefault="00AA51D1" w:rsidP="003517FC">
            <w:r>
              <w:t>353</w:t>
            </w:r>
          </w:p>
        </w:tc>
        <w:tc>
          <w:tcPr>
            <w:tcW w:w="1817" w:type="dxa"/>
          </w:tcPr>
          <w:p w14:paraId="5EA674C7" w14:textId="26BD1D85" w:rsidR="00AA51D1" w:rsidRDefault="00AA51D1" w:rsidP="003517FC">
            <w:r>
              <w:t>21</w:t>
            </w:r>
            <w:r w:rsidR="00301E3F">
              <w:t xml:space="preserve">% </w:t>
            </w:r>
            <w:r>
              <w:t>(74)</w:t>
            </w:r>
          </w:p>
        </w:tc>
        <w:tc>
          <w:tcPr>
            <w:tcW w:w="1770" w:type="dxa"/>
          </w:tcPr>
          <w:p w14:paraId="32DAE184" w14:textId="12237605" w:rsidR="00AA51D1" w:rsidRDefault="00AA51D1" w:rsidP="003517FC">
            <w:r>
              <w:t>74.5</w:t>
            </w:r>
            <w:r w:rsidR="00301E3F">
              <w:t xml:space="preserve">% </w:t>
            </w:r>
            <w:r>
              <w:t>(263)</w:t>
            </w:r>
          </w:p>
        </w:tc>
        <w:tc>
          <w:tcPr>
            <w:tcW w:w="1871" w:type="dxa"/>
          </w:tcPr>
          <w:p w14:paraId="120A5C06" w14:textId="52EB10BB" w:rsidR="00AA51D1" w:rsidRDefault="00AA51D1" w:rsidP="003517FC">
            <w:r>
              <w:t>4.5</w:t>
            </w:r>
            <w:r w:rsidR="00301E3F">
              <w:t>%</w:t>
            </w:r>
            <w:r>
              <w:t xml:space="preserve"> (16)</w:t>
            </w:r>
          </w:p>
        </w:tc>
      </w:tr>
      <w:tr w:rsidR="00AA51D1" w14:paraId="73D36EAF" w14:textId="77777777" w:rsidTr="003517FC">
        <w:tc>
          <w:tcPr>
            <w:tcW w:w="1987" w:type="dxa"/>
          </w:tcPr>
          <w:p w14:paraId="683C8B4E" w14:textId="60943CB4" w:rsidR="00AA51D1" w:rsidRDefault="00AA51D1" w:rsidP="003517FC">
            <w:r>
              <w:t>Southwick (1396</w:t>
            </w:r>
            <w:r w:rsidR="00147E8A">
              <w:t>), current tenants</w:t>
            </w:r>
          </w:p>
        </w:tc>
        <w:tc>
          <w:tcPr>
            <w:tcW w:w="1571" w:type="dxa"/>
          </w:tcPr>
          <w:p w14:paraId="75B9160F" w14:textId="712C7909" w:rsidR="00AA51D1" w:rsidRDefault="00AA51D1" w:rsidP="003517FC">
            <w:r>
              <w:t>1</w:t>
            </w:r>
            <w:r w:rsidR="00147E8A">
              <w:t>03</w:t>
            </w:r>
          </w:p>
        </w:tc>
        <w:tc>
          <w:tcPr>
            <w:tcW w:w="1817" w:type="dxa"/>
          </w:tcPr>
          <w:p w14:paraId="58903EC6" w14:textId="6314D579" w:rsidR="00AA51D1" w:rsidRDefault="00147E8A" w:rsidP="003517FC">
            <w:r>
              <w:t>11.7</w:t>
            </w:r>
            <w:r w:rsidR="00301E3F">
              <w:t xml:space="preserve">% </w:t>
            </w:r>
            <w:r>
              <w:t>(12)</w:t>
            </w:r>
          </w:p>
        </w:tc>
        <w:tc>
          <w:tcPr>
            <w:tcW w:w="1770" w:type="dxa"/>
          </w:tcPr>
          <w:p w14:paraId="30C51F8D" w14:textId="3AEFD8D9" w:rsidR="00AA51D1" w:rsidRDefault="00147E8A" w:rsidP="003517FC">
            <w:r>
              <w:t>82.5</w:t>
            </w:r>
            <w:r w:rsidR="00301E3F">
              <w:t xml:space="preserve">% </w:t>
            </w:r>
            <w:r>
              <w:t>(85)</w:t>
            </w:r>
          </w:p>
        </w:tc>
        <w:tc>
          <w:tcPr>
            <w:tcW w:w="1871" w:type="dxa"/>
          </w:tcPr>
          <w:p w14:paraId="15583419" w14:textId="309410C1" w:rsidR="00AA51D1" w:rsidRDefault="00147E8A" w:rsidP="003517FC">
            <w:r>
              <w:t>5.8</w:t>
            </w:r>
            <w:r w:rsidR="00301E3F">
              <w:t xml:space="preserve">% </w:t>
            </w:r>
            <w:r>
              <w:t>(6)</w:t>
            </w:r>
          </w:p>
        </w:tc>
      </w:tr>
      <w:tr w:rsidR="00147E8A" w14:paraId="6C517E31" w14:textId="77777777" w:rsidTr="003517FC">
        <w:tc>
          <w:tcPr>
            <w:tcW w:w="1987" w:type="dxa"/>
          </w:tcPr>
          <w:p w14:paraId="06220AF7" w14:textId="71642070" w:rsidR="00147E8A" w:rsidRDefault="00147E8A" w:rsidP="003517FC">
            <w:r>
              <w:t>Southwick (1396), former tenants</w:t>
            </w:r>
          </w:p>
        </w:tc>
        <w:tc>
          <w:tcPr>
            <w:tcW w:w="1571" w:type="dxa"/>
          </w:tcPr>
          <w:p w14:paraId="630B5B14" w14:textId="551DE628" w:rsidR="00147E8A" w:rsidRDefault="00BE4C96" w:rsidP="003517FC">
            <w:r>
              <w:t>28</w:t>
            </w:r>
          </w:p>
        </w:tc>
        <w:tc>
          <w:tcPr>
            <w:tcW w:w="1817" w:type="dxa"/>
          </w:tcPr>
          <w:p w14:paraId="45B1F4B1" w14:textId="3FF9CDAB" w:rsidR="00147E8A" w:rsidRDefault="00BE4C96" w:rsidP="003517FC">
            <w:r>
              <w:t>14.3</w:t>
            </w:r>
            <w:r w:rsidR="00301E3F">
              <w:t xml:space="preserve">% </w:t>
            </w:r>
            <w:r>
              <w:t>(4)</w:t>
            </w:r>
          </w:p>
        </w:tc>
        <w:tc>
          <w:tcPr>
            <w:tcW w:w="1770" w:type="dxa"/>
          </w:tcPr>
          <w:p w14:paraId="57050FC1" w14:textId="51FD3988" w:rsidR="00147E8A" w:rsidRDefault="00BE4C96" w:rsidP="003517FC">
            <w:r>
              <w:t>82.1</w:t>
            </w:r>
            <w:r w:rsidR="00301E3F">
              <w:t xml:space="preserve">% </w:t>
            </w:r>
            <w:r>
              <w:t>(23)</w:t>
            </w:r>
          </w:p>
        </w:tc>
        <w:tc>
          <w:tcPr>
            <w:tcW w:w="1871" w:type="dxa"/>
          </w:tcPr>
          <w:p w14:paraId="783A36B4" w14:textId="6FDFF377" w:rsidR="00147E8A" w:rsidRDefault="00BE4C96" w:rsidP="003517FC">
            <w:r>
              <w:t>3.6</w:t>
            </w:r>
            <w:r w:rsidR="00301E3F">
              <w:t xml:space="preserve">% </w:t>
            </w:r>
            <w:r>
              <w:t>(1)</w:t>
            </w:r>
          </w:p>
        </w:tc>
      </w:tr>
    </w:tbl>
    <w:p w14:paraId="52835A7A" w14:textId="1F232AE7" w:rsidR="00984870" w:rsidRDefault="00026F70" w:rsidP="000D7A00">
      <w:pPr>
        <w:spacing w:before="240"/>
      </w:pPr>
      <w:r>
        <w:t xml:space="preserve">Table 1 shows that </w:t>
      </w:r>
      <w:r w:rsidR="009B3F29">
        <w:t xml:space="preserve">the rentals largely adhered to </w:t>
      </w:r>
      <w:r w:rsidR="00C7078D">
        <w:t>the 9-15 percent estimates of female landholding</w:t>
      </w:r>
      <w:r w:rsidR="009B3F29">
        <w:t xml:space="preserve">, if </w:t>
      </w:r>
      <w:r w:rsidR="00C7078D">
        <w:t>around its</w:t>
      </w:r>
      <w:r w:rsidR="009B3F29">
        <w:t xml:space="preserve"> upper limit</w:t>
      </w:r>
      <w:r w:rsidR="00CC336F">
        <w:t>, with one exception. Southwick’s 1352 rental is unusual in that it was repeatedly updated until the 1390s</w:t>
      </w:r>
      <w:r w:rsidR="00076E00">
        <w:t xml:space="preserve">, resulting in some overlap between it and the 1396 rental. Its rate of 21 percent may be interpreted as a small spike caused by the Black Death, </w:t>
      </w:r>
      <w:r w:rsidR="00E83F03">
        <w:t xml:space="preserve">which resulted in </w:t>
      </w:r>
      <w:r w:rsidR="00DE1926">
        <w:t>19</w:t>
      </w:r>
      <w:r w:rsidR="00E83F03">
        <w:t xml:space="preserve"> tenant deaths </w:t>
      </w:r>
      <w:r w:rsidR="00DE1926">
        <w:t>in</w:t>
      </w:r>
      <w:r w:rsidR="00E83F03">
        <w:t xml:space="preserve"> 1349, but </w:t>
      </w:r>
      <w:r w:rsidR="00F63FA2">
        <w:t>only 6 (28.6</w:t>
      </w:r>
      <w:r w:rsidR="00C3498D">
        <w:t xml:space="preserve"> percent</w:t>
      </w:r>
      <w:r w:rsidR="00F63FA2">
        <w:t>)</w:t>
      </w:r>
      <w:r w:rsidR="00C3498D">
        <w:t xml:space="preserve"> resulted in female inheritance (joint or sole), a far cry below Southwick’s overall rate of 57.9 percent (Table 2).</w:t>
      </w:r>
      <w:r w:rsidR="004D4BC9">
        <w:t xml:space="preserve"> Alternatively, the longer scope provided by this rental may suggest that female tenants faced a higher turnover in their tenancies, possibly due to inheriting at a later age than their male counterparts as </w:t>
      </w:r>
      <w:r w:rsidR="000A4C04">
        <w:t xml:space="preserve">they were most likely to hold land if they </w:t>
      </w:r>
      <w:r w:rsidR="00F67517">
        <w:t>survived into widowhood.</w:t>
      </w:r>
    </w:p>
    <w:p w14:paraId="6097B5E7" w14:textId="0B384963" w:rsidR="002D4995" w:rsidRDefault="00C3498D" w:rsidP="00597097">
      <w:r>
        <w:t>This is not directly comparable to Bardsley’s (2014: 312-3) study, which focused on</w:t>
      </w:r>
      <w:r w:rsidR="000144D3">
        <w:t>ly on</w:t>
      </w:r>
      <w:r>
        <w:t xml:space="preserve"> the postmortem inheritance of daughters</w:t>
      </w:r>
      <w:r w:rsidR="000144D3">
        <w:t>,</w:t>
      </w:r>
      <w:r w:rsidR="0000086A">
        <w:t xml:space="preserve"> but she included an analysis of </w:t>
      </w:r>
      <w:r w:rsidR="008E3EC9">
        <w:t>the Winchester manors previously covered by</w:t>
      </w:r>
      <w:r w:rsidR="00DB35EA">
        <w:t xml:space="preserve"> Mullan and Britnell (2010</w:t>
      </w:r>
      <w:r w:rsidR="00E0648E">
        <w:t>) wherein she found an inheritance rate of 13.2</w:t>
      </w:r>
      <w:r w:rsidR="00035C70">
        <w:t xml:space="preserve"> percent</w:t>
      </w:r>
      <w:r w:rsidR="00E0648E">
        <w:t xml:space="preserve"> from 1269-1348, </w:t>
      </w:r>
      <w:r w:rsidR="00035C70">
        <w:t>14.6 percent from 1348-1350, and 16 percent from 1350-1415.</w:t>
      </w:r>
      <w:r w:rsidR="00597097">
        <w:t xml:space="preserve"> This compared to</w:t>
      </w:r>
      <w:r w:rsidR="003358D4">
        <w:t xml:space="preserve"> an average of 13</w:t>
      </w:r>
      <w:r w:rsidR="00E47654">
        <w:t xml:space="preserve"> percent</w:t>
      </w:r>
      <w:r w:rsidR="003358D4">
        <w:t xml:space="preserve"> across all periods and manors surveyed</w:t>
      </w:r>
      <w:r w:rsidR="00C63907">
        <w:t xml:space="preserve">. </w:t>
      </w:r>
      <w:r w:rsidR="00332BB1">
        <w:t xml:space="preserve">Bardsley concluded that there was no consistent evidence of change or continuity in female inheritance practices following the Black Death, </w:t>
      </w:r>
      <w:r w:rsidR="00B305F8">
        <w:t xml:space="preserve">although this conclusion was based on a broad range of manors across England and allows space for </w:t>
      </w:r>
      <w:r w:rsidR="00FE17BC">
        <w:t>regional trends.</w:t>
      </w:r>
    </w:p>
    <w:p w14:paraId="6FCB94D7" w14:textId="507F61AB" w:rsidR="004F0204" w:rsidRDefault="00F67517" w:rsidP="009110F6">
      <w:r>
        <w:t xml:space="preserve">The 9-15 percent rate becomes more divisive when compared to the rates at which women gave and received land in all four manors. This is skewed by the aforementioned absence of 60 percent of tenants, </w:t>
      </w:r>
      <w:r w:rsidR="009110F6">
        <w:t>but provides relevant information. Tables 2 and 3 show that nearly 60 percent of all</w:t>
      </w:r>
      <w:r w:rsidR="00DA69D2">
        <w:t xml:space="preserve"> land transfers in Chilbolton were initiated by women</w:t>
      </w:r>
      <w:r w:rsidR="009110F6">
        <w:t xml:space="preserve">, while women received land in 40-50 percent of Houghton and Michelmersh’s transactions, a far cry from the 15.4 and 16.2 percent rates of female tenancy in their custumals. </w:t>
      </w:r>
      <w:r w:rsidR="00A06DB9">
        <w:t xml:space="preserve">Smith (1991:46) performed a similar analysis of seven manors </w:t>
      </w:r>
      <w:r w:rsidR="00BB6209">
        <w:t xml:space="preserve">between 1368-1500, </w:t>
      </w:r>
      <w:r w:rsidR="00A06DB9">
        <w:t xml:space="preserve">where he found that </w:t>
      </w:r>
      <w:r w:rsidR="006862D3">
        <w:t>between 14</w:t>
      </w:r>
      <w:r w:rsidR="002A15FA">
        <w:t>-31</w:t>
      </w:r>
      <w:r w:rsidR="00E47654">
        <w:t xml:space="preserve"> percent</w:t>
      </w:r>
      <w:r w:rsidR="002A15FA">
        <w:t xml:space="preserve"> of customary land transfers involved a woman</w:t>
      </w:r>
      <w:r w:rsidR="005F528F">
        <w:t xml:space="preserve"> as one party</w:t>
      </w:r>
      <w:r w:rsidR="008C14B0">
        <w:t xml:space="preserve"> and </w:t>
      </w:r>
      <w:r w:rsidR="00D11D92">
        <w:t>16-39</w:t>
      </w:r>
      <w:r w:rsidR="00E47654">
        <w:t xml:space="preserve"> percent</w:t>
      </w:r>
      <w:r w:rsidR="00D11D92">
        <w:t xml:space="preserve"> involved a married couple</w:t>
      </w:r>
      <w:r w:rsidR="005F528F">
        <w:t>.</w:t>
      </w:r>
      <w:r w:rsidR="00C06DB9">
        <w:t xml:space="preserve"> </w:t>
      </w:r>
    </w:p>
    <w:p w14:paraId="4D069E6D" w14:textId="7BAAC162" w:rsidR="009110F6" w:rsidRDefault="009110F6" w:rsidP="009110F6">
      <w:r>
        <w:t xml:space="preserve">The difference between custumals and the court rolls can be explained by several factors. </w:t>
      </w:r>
      <w:r w:rsidR="009179E1">
        <w:t>First, i</w:t>
      </w:r>
      <w:r w:rsidR="00594B29">
        <w:t>t</w:t>
      </w:r>
      <w:r w:rsidR="005B3977">
        <w:t xml:space="preserve"> is estimated 40 percent of tenants were absent from the court rolls almost certainly skews the demographics presen</w:t>
      </w:r>
      <w:r w:rsidR="004F57BE">
        <w:t xml:space="preserve">t. It has been argued that widows and poor women were the most likely to be absent from the court rolls, but these transactions suggest another story. The </w:t>
      </w:r>
      <w:r w:rsidR="00557BA6">
        <w:t xml:space="preserve">high rates of female transferers in St Swithun’s manors are </w:t>
      </w:r>
      <w:r w:rsidR="00557BA6">
        <w:rPr>
          <w:i/>
          <w:iCs/>
        </w:rPr>
        <w:t>due</w:t>
      </w:r>
      <w:r w:rsidR="00557BA6">
        <w:t xml:space="preserve"> to the recording of widows’ deaths and the </w:t>
      </w:r>
      <w:r w:rsidR="00557BA6">
        <w:lastRenderedPageBreak/>
        <w:t xml:space="preserve">inheritance of their lands by their heirs. By contrast, Chilbolton has a far lower rate of women receiving land due to a scribal </w:t>
      </w:r>
      <w:r w:rsidR="003D7A4F">
        <w:t>choice</w:t>
      </w:r>
      <w:r w:rsidR="00557BA6">
        <w:t xml:space="preserve"> only revealed after its manor court merged with Wonston’s in 1322 – that widows were exempt from paying entry fines to their husband’s land. Such transactions are entirely absent from the court rolls prior to this date, </w:t>
      </w:r>
      <w:r w:rsidR="003D7A4F">
        <w:t>likely due to its financial unimportance</w:t>
      </w:r>
      <w:r w:rsidR="00026F9E">
        <w:t xml:space="preserve"> in documents that primarily served to record the lord’s income from his court sessions. Southwick</w:t>
      </w:r>
      <w:r w:rsidR="0020321B">
        <w:t xml:space="preserve">’s low rate of female transferers may suggest similar gaps, although </w:t>
      </w:r>
      <w:r w:rsidR="004B008A">
        <w:t xml:space="preserve">19 of the 79 </w:t>
      </w:r>
      <w:r w:rsidR="00CE3306">
        <w:t xml:space="preserve">(24.1 percent) </w:t>
      </w:r>
      <w:r w:rsidR="004B008A">
        <w:t>known cases of inheritance are from a woman to her child or husband.</w:t>
      </w:r>
    </w:p>
    <w:p w14:paraId="18AA2A51" w14:textId="03054DB2" w:rsidR="00594B29" w:rsidRPr="00557BA6" w:rsidRDefault="00594B29" w:rsidP="009110F6">
      <w:r>
        <w:t>Anothe</w:t>
      </w:r>
      <w:r w:rsidR="00AB68FF">
        <w:t>r factor is that in cases of jointure, in Southwick</w:t>
      </w:r>
      <w:r w:rsidR="00DB310D">
        <w:t>’s 1396 rental</w:t>
      </w:r>
      <w:r w:rsidR="00AB68FF">
        <w:t xml:space="preserve">, the husband was listed as the sole tenant for the </w:t>
      </w:r>
      <w:r w:rsidR="00DB310D">
        <w:t xml:space="preserve">holding. </w:t>
      </w:r>
      <w:r w:rsidR="000C5F78">
        <w:t xml:space="preserve">Walter Daubeney and Thomas Smallcarter had both entered joint leases with their wives and daughters in 1388 and 1394 respectively, but </w:t>
      </w:r>
      <w:r w:rsidR="00D15A26">
        <w:t xml:space="preserve">they </w:t>
      </w:r>
      <w:r w:rsidR="00632F02">
        <w:t>both appear without their relatives in the rental</w:t>
      </w:r>
      <w:r w:rsidR="000C5F78">
        <w:t>. This was the norm, as no property is listed as having more than one owner despite 34 joint tenancies in the last decade out of a total of 74</w:t>
      </w:r>
      <w:r w:rsidR="00D15A26">
        <w:t xml:space="preserve"> (45.9 percent)</w:t>
      </w:r>
      <w:r w:rsidR="000C5F78">
        <w:t>.</w:t>
      </w:r>
      <w:r w:rsidR="00632F02">
        <w:t xml:space="preserve"> Rentals may generally be considered more accurate </w:t>
      </w:r>
      <w:r w:rsidR="00F92C22">
        <w:t xml:space="preserve">reflections of tenant demographics, but this demonstrates that they are </w:t>
      </w:r>
      <w:r w:rsidR="00C2743F">
        <w:t xml:space="preserve">best used in coordination with contemporary court rolls rather than independently, to better assess </w:t>
      </w:r>
      <w:r w:rsidR="00705548">
        <w:t>what scribal biases may appear.</w:t>
      </w:r>
    </w:p>
    <w:p w14:paraId="57F33E2C" w14:textId="7C14826A" w:rsidR="00AA51D1" w:rsidRDefault="00AA51D1" w:rsidP="00AA51D1">
      <w:pPr>
        <w:pStyle w:val="Caption"/>
        <w:keepNext/>
      </w:pPr>
      <w:r>
        <w:t xml:space="preserve">Table </w:t>
      </w:r>
      <w:r>
        <w:fldChar w:fldCharType="begin"/>
      </w:r>
      <w:r>
        <w:instrText xml:space="preserve"> SEQ Table \* ARABIC </w:instrText>
      </w:r>
      <w:r>
        <w:fldChar w:fldCharType="separate"/>
      </w:r>
      <w:r w:rsidR="00291F89">
        <w:rPr>
          <w:noProof/>
        </w:rPr>
        <w:t>2</w:t>
      </w:r>
      <w:r>
        <w:fldChar w:fldCharType="end"/>
      </w:r>
      <w:r>
        <w:t xml:space="preserve">: Gender of transferers or last known householders in manorial court land transfers by manor. Overlap reflects entries where multiple parties were admitted to a single piece of land, </w:t>
      </w:r>
      <w:r w:rsidR="00852C9D">
        <w:t>with</w:t>
      </w:r>
      <w:r>
        <w:t xml:space="preserve"> entries where the lord admitted tenants omitted from the table.</w:t>
      </w:r>
    </w:p>
    <w:tbl>
      <w:tblPr>
        <w:tblStyle w:val="TableGrid"/>
        <w:tblW w:w="0" w:type="auto"/>
        <w:tblLook w:val="04A0" w:firstRow="1" w:lastRow="0" w:firstColumn="1" w:lastColumn="0" w:noHBand="0" w:noVBand="1"/>
      </w:tblPr>
      <w:tblGrid>
        <w:gridCol w:w="1766"/>
        <w:gridCol w:w="1458"/>
        <w:gridCol w:w="1489"/>
        <w:gridCol w:w="1373"/>
        <w:gridCol w:w="1706"/>
        <w:gridCol w:w="1224"/>
      </w:tblGrid>
      <w:tr w:rsidR="00AA51D1" w14:paraId="03C994FE" w14:textId="77777777" w:rsidTr="00C321CB">
        <w:tc>
          <w:tcPr>
            <w:tcW w:w="1766" w:type="dxa"/>
          </w:tcPr>
          <w:p w14:paraId="29A4FC52" w14:textId="77777777" w:rsidR="00AA51D1" w:rsidRDefault="00AA51D1" w:rsidP="003517FC">
            <w:r>
              <w:t>Manor</w:t>
            </w:r>
          </w:p>
        </w:tc>
        <w:tc>
          <w:tcPr>
            <w:tcW w:w="1458" w:type="dxa"/>
          </w:tcPr>
          <w:p w14:paraId="3970A391" w14:textId="77777777" w:rsidR="00AA51D1" w:rsidRDefault="00AA51D1" w:rsidP="003517FC">
            <w:r>
              <w:t>Women</w:t>
            </w:r>
          </w:p>
        </w:tc>
        <w:tc>
          <w:tcPr>
            <w:tcW w:w="1489" w:type="dxa"/>
          </w:tcPr>
          <w:p w14:paraId="313FB9FC" w14:textId="77777777" w:rsidR="00AA51D1" w:rsidRDefault="00AA51D1" w:rsidP="003517FC">
            <w:r>
              <w:t>Women (exc. joint admissions)</w:t>
            </w:r>
          </w:p>
        </w:tc>
        <w:tc>
          <w:tcPr>
            <w:tcW w:w="1373" w:type="dxa"/>
          </w:tcPr>
          <w:p w14:paraId="74CEB6E2" w14:textId="77777777" w:rsidR="00AA51D1" w:rsidRDefault="00AA51D1" w:rsidP="003517FC">
            <w:r>
              <w:t>Men</w:t>
            </w:r>
          </w:p>
        </w:tc>
        <w:tc>
          <w:tcPr>
            <w:tcW w:w="1706" w:type="dxa"/>
          </w:tcPr>
          <w:p w14:paraId="394B011A" w14:textId="77777777" w:rsidR="00AA51D1" w:rsidRDefault="00AA51D1" w:rsidP="003517FC">
            <w:r>
              <w:t>Men (exc. joint admissions)</w:t>
            </w:r>
          </w:p>
        </w:tc>
        <w:tc>
          <w:tcPr>
            <w:tcW w:w="1224" w:type="dxa"/>
          </w:tcPr>
          <w:p w14:paraId="0D7605CF" w14:textId="69C275ED" w:rsidR="00AA51D1" w:rsidRDefault="00AA51D1" w:rsidP="003517FC">
            <w:r>
              <w:t>Unknown</w:t>
            </w:r>
          </w:p>
        </w:tc>
      </w:tr>
      <w:tr w:rsidR="00AA51D1" w14:paraId="2CB6BADC" w14:textId="77777777" w:rsidTr="00C321CB">
        <w:tc>
          <w:tcPr>
            <w:tcW w:w="1766" w:type="dxa"/>
          </w:tcPr>
          <w:p w14:paraId="67658FFD" w14:textId="77777777" w:rsidR="00AA51D1" w:rsidRDefault="00AA51D1" w:rsidP="003517FC">
            <w:r>
              <w:t>Chilbolton (1267-1384)</w:t>
            </w:r>
          </w:p>
        </w:tc>
        <w:tc>
          <w:tcPr>
            <w:tcW w:w="1458" w:type="dxa"/>
          </w:tcPr>
          <w:p w14:paraId="3E51D432" w14:textId="3F330E70" w:rsidR="00AA51D1" w:rsidRDefault="00AA51D1" w:rsidP="003517FC">
            <w:r>
              <w:t>59.6</w:t>
            </w:r>
            <w:r w:rsidR="00301E3F">
              <w:t xml:space="preserve">% </w:t>
            </w:r>
            <w:r>
              <w:t>(34)</w:t>
            </w:r>
          </w:p>
        </w:tc>
        <w:tc>
          <w:tcPr>
            <w:tcW w:w="1489" w:type="dxa"/>
          </w:tcPr>
          <w:p w14:paraId="64466298" w14:textId="38C7D52D" w:rsidR="00AA51D1" w:rsidRPr="00DE2F54" w:rsidRDefault="00AA51D1" w:rsidP="003517FC">
            <w:r>
              <w:t>59.6</w:t>
            </w:r>
            <w:r w:rsidR="00301E3F">
              <w:t xml:space="preserve">% </w:t>
            </w:r>
            <w:r>
              <w:t>(34)</w:t>
            </w:r>
          </w:p>
        </w:tc>
        <w:tc>
          <w:tcPr>
            <w:tcW w:w="1373" w:type="dxa"/>
          </w:tcPr>
          <w:p w14:paraId="7B4158A7" w14:textId="5E462202" w:rsidR="00AA51D1" w:rsidRDefault="00AA51D1" w:rsidP="003517FC">
            <w:r>
              <w:t>40.4</w:t>
            </w:r>
            <w:r w:rsidR="00301E3F">
              <w:t>%</w:t>
            </w:r>
            <w:r>
              <w:t xml:space="preserve"> (23)</w:t>
            </w:r>
          </w:p>
        </w:tc>
        <w:tc>
          <w:tcPr>
            <w:tcW w:w="1706" w:type="dxa"/>
          </w:tcPr>
          <w:p w14:paraId="14F2ED0A" w14:textId="114717D8" w:rsidR="00AA51D1" w:rsidRDefault="00AA51D1" w:rsidP="003517FC">
            <w:r>
              <w:t>40.4</w:t>
            </w:r>
            <w:r w:rsidR="00301E3F">
              <w:t>%</w:t>
            </w:r>
            <w:r>
              <w:t xml:space="preserve"> (23)</w:t>
            </w:r>
          </w:p>
        </w:tc>
        <w:tc>
          <w:tcPr>
            <w:tcW w:w="1224" w:type="dxa"/>
          </w:tcPr>
          <w:p w14:paraId="467C618A" w14:textId="77777777" w:rsidR="00AA51D1" w:rsidRDefault="00AA51D1" w:rsidP="003517FC">
            <w:r>
              <w:t>-</w:t>
            </w:r>
          </w:p>
        </w:tc>
      </w:tr>
      <w:tr w:rsidR="00AA51D1" w14:paraId="4134AAF3" w14:textId="77777777" w:rsidTr="00C321CB">
        <w:tc>
          <w:tcPr>
            <w:tcW w:w="1766" w:type="dxa"/>
          </w:tcPr>
          <w:p w14:paraId="792B4796" w14:textId="77777777" w:rsidR="00AA51D1" w:rsidRDefault="00AA51D1" w:rsidP="003517FC">
            <w:r>
              <w:t>Houghton (1267-1325)</w:t>
            </w:r>
          </w:p>
        </w:tc>
        <w:tc>
          <w:tcPr>
            <w:tcW w:w="1458" w:type="dxa"/>
          </w:tcPr>
          <w:p w14:paraId="0C663224" w14:textId="7FF83D64" w:rsidR="00AA51D1" w:rsidRDefault="00AA51D1" w:rsidP="003517FC">
            <w:r>
              <w:t>42.9</w:t>
            </w:r>
            <w:r w:rsidR="00301E3F">
              <w:t>%</w:t>
            </w:r>
            <w:r>
              <w:t xml:space="preserve"> (15)</w:t>
            </w:r>
          </w:p>
        </w:tc>
        <w:tc>
          <w:tcPr>
            <w:tcW w:w="1489" w:type="dxa"/>
          </w:tcPr>
          <w:p w14:paraId="479E513D" w14:textId="2EFED7A0" w:rsidR="00AA51D1" w:rsidRDefault="00AA51D1" w:rsidP="003517FC">
            <w:r>
              <w:t>42.9</w:t>
            </w:r>
            <w:r w:rsidR="009110F6">
              <w:t xml:space="preserve">% </w:t>
            </w:r>
            <w:r>
              <w:t>(15)</w:t>
            </w:r>
          </w:p>
        </w:tc>
        <w:tc>
          <w:tcPr>
            <w:tcW w:w="1373" w:type="dxa"/>
          </w:tcPr>
          <w:p w14:paraId="1F9F79EA" w14:textId="7CAB577C" w:rsidR="00AA51D1" w:rsidRDefault="00AA51D1" w:rsidP="003517FC">
            <w:r>
              <w:t>49.6</w:t>
            </w:r>
            <w:r w:rsidR="00301E3F">
              <w:t xml:space="preserve">% </w:t>
            </w:r>
            <w:r>
              <w:t>(17)</w:t>
            </w:r>
          </w:p>
        </w:tc>
        <w:tc>
          <w:tcPr>
            <w:tcW w:w="1706" w:type="dxa"/>
          </w:tcPr>
          <w:p w14:paraId="4414B6F0" w14:textId="047AF8E7" w:rsidR="00AA51D1" w:rsidRDefault="00AA51D1" w:rsidP="003517FC">
            <w:r>
              <w:t>49.6</w:t>
            </w:r>
            <w:r w:rsidR="00301E3F">
              <w:t xml:space="preserve">% </w:t>
            </w:r>
            <w:r>
              <w:t>(17)</w:t>
            </w:r>
          </w:p>
        </w:tc>
        <w:tc>
          <w:tcPr>
            <w:tcW w:w="1224" w:type="dxa"/>
          </w:tcPr>
          <w:p w14:paraId="69BAE01D" w14:textId="6CD80261" w:rsidR="00AA51D1" w:rsidRDefault="00AA51D1" w:rsidP="003517FC">
            <w:r>
              <w:t>8.6</w:t>
            </w:r>
            <w:r w:rsidR="00301E3F">
              <w:t>%</w:t>
            </w:r>
            <w:r>
              <w:t xml:space="preserve"> (3)</w:t>
            </w:r>
          </w:p>
        </w:tc>
      </w:tr>
      <w:tr w:rsidR="00AA51D1" w14:paraId="28871DE0" w14:textId="77777777" w:rsidTr="00C321CB">
        <w:tc>
          <w:tcPr>
            <w:tcW w:w="1766" w:type="dxa"/>
          </w:tcPr>
          <w:p w14:paraId="1C8F1421" w14:textId="77777777" w:rsidR="00AA51D1" w:rsidRDefault="00AA51D1" w:rsidP="003517FC">
            <w:r>
              <w:t>Michelmersh (1267-1331)</w:t>
            </w:r>
          </w:p>
        </w:tc>
        <w:tc>
          <w:tcPr>
            <w:tcW w:w="1458" w:type="dxa"/>
          </w:tcPr>
          <w:p w14:paraId="38040663" w14:textId="18530745" w:rsidR="00AA51D1" w:rsidRDefault="00AA51D1" w:rsidP="003517FC">
            <w:r>
              <w:t>43.4</w:t>
            </w:r>
            <w:r w:rsidR="00301E3F">
              <w:t xml:space="preserve">% </w:t>
            </w:r>
            <w:r>
              <w:t>(23)</w:t>
            </w:r>
          </w:p>
        </w:tc>
        <w:tc>
          <w:tcPr>
            <w:tcW w:w="1489" w:type="dxa"/>
          </w:tcPr>
          <w:p w14:paraId="0D75D9FC" w14:textId="7AD54C9B" w:rsidR="00AA51D1" w:rsidRPr="0080445C" w:rsidRDefault="00AA51D1" w:rsidP="003517FC">
            <w:r>
              <w:t>43.4</w:t>
            </w:r>
            <w:r w:rsidR="00301E3F">
              <w:t>%</w:t>
            </w:r>
            <w:r>
              <w:t xml:space="preserve"> (23)</w:t>
            </w:r>
          </w:p>
        </w:tc>
        <w:tc>
          <w:tcPr>
            <w:tcW w:w="1373" w:type="dxa"/>
          </w:tcPr>
          <w:p w14:paraId="7D38601A" w14:textId="13F42598" w:rsidR="00AA51D1" w:rsidRDefault="00AA51D1" w:rsidP="003517FC">
            <w:r>
              <w:t>47.2</w:t>
            </w:r>
            <w:r w:rsidR="00301E3F">
              <w:t xml:space="preserve">% </w:t>
            </w:r>
            <w:r>
              <w:t>(25)</w:t>
            </w:r>
          </w:p>
        </w:tc>
        <w:tc>
          <w:tcPr>
            <w:tcW w:w="1706" w:type="dxa"/>
          </w:tcPr>
          <w:p w14:paraId="76CBB130" w14:textId="0E3EC6FD" w:rsidR="00AA51D1" w:rsidRDefault="00AA51D1" w:rsidP="003517FC">
            <w:r>
              <w:t>47.2</w:t>
            </w:r>
            <w:r w:rsidR="00301E3F">
              <w:t>%</w:t>
            </w:r>
            <w:r>
              <w:t xml:space="preserve"> (25)</w:t>
            </w:r>
          </w:p>
        </w:tc>
        <w:tc>
          <w:tcPr>
            <w:tcW w:w="1224" w:type="dxa"/>
          </w:tcPr>
          <w:p w14:paraId="7F59866E" w14:textId="278D4049" w:rsidR="00AA51D1" w:rsidRDefault="00AA51D1" w:rsidP="003517FC">
            <w:r>
              <w:t>9.4</w:t>
            </w:r>
            <w:r w:rsidR="00301E3F">
              <w:t>%</w:t>
            </w:r>
            <w:r>
              <w:t xml:space="preserve"> (5)</w:t>
            </w:r>
          </w:p>
        </w:tc>
      </w:tr>
      <w:tr w:rsidR="00AA51D1" w14:paraId="1713919F" w14:textId="77777777" w:rsidTr="00C321CB">
        <w:tc>
          <w:tcPr>
            <w:tcW w:w="1766" w:type="dxa"/>
          </w:tcPr>
          <w:p w14:paraId="6291F436" w14:textId="5008E04F" w:rsidR="00AA51D1" w:rsidRPr="000D7F38" w:rsidRDefault="00AA51D1" w:rsidP="003517FC">
            <w:pPr>
              <w:rPr>
                <w:b/>
                <w:bCs/>
                <w:u w:val="single"/>
              </w:rPr>
            </w:pPr>
            <w:r>
              <w:t>Southwick (1308-13</w:t>
            </w:r>
            <w:r w:rsidR="00D77333">
              <w:t>9</w:t>
            </w:r>
            <w:r w:rsidR="00945695">
              <w:t>6</w:t>
            </w:r>
            <w:r>
              <w:t>)</w:t>
            </w:r>
          </w:p>
        </w:tc>
        <w:tc>
          <w:tcPr>
            <w:tcW w:w="1458" w:type="dxa"/>
          </w:tcPr>
          <w:p w14:paraId="1452B3A8" w14:textId="79AAC596" w:rsidR="00AA51D1" w:rsidRDefault="006B6ED1" w:rsidP="003517FC">
            <w:r>
              <w:t>22.2% (70)</w:t>
            </w:r>
          </w:p>
        </w:tc>
        <w:tc>
          <w:tcPr>
            <w:tcW w:w="1489" w:type="dxa"/>
          </w:tcPr>
          <w:p w14:paraId="43C2E70F" w14:textId="26125D82" w:rsidR="00AA51D1" w:rsidRDefault="00AD533A" w:rsidP="003517FC">
            <w:r>
              <w:t>19.9% (63)</w:t>
            </w:r>
          </w:p>
        </w:tc>
        <w:tc>
          <w:tcPr>
            <w:tcW w:w="1373" w:type="dxa"/>
          </w:tcPr>
          <w:p w14:paraId="2726F8AD" w14:textId="38AC1EB3" w:rsidR="00AA51D1" w:rsidRDefault="00AD533A" w:rsidP="003517FC">
            <w:r>
              <w:t>74.1% (234)</w:t>
            </w:r>
          </w:p>
        </w:tc>
        <w:tc>
          <w:tcPr>
            <w:tcW w:w="1706" w:type="dxa"/>
          </w:tcPr>
          <w:p w14:paraId="1D1ED09A" w14:textId="5F987670" w:rsidR="00AA51D1" w:rsidRDefault="0062200E" w:rsidP="003517FC">
            <w:r>
              <w:t>70.6% (223)</w:t>
            </w:r>
          </w:p>
        </w:tc>
        <w:tc>
          <w:tcPr>
            <w:tcW w:w="1224" w:type="dxa"/>
          </w:tcPr>
          <w:p w14:paraId="42356FEC" w14:textId="3C4AEDA2" w:rsidR="00AA51D1" w:rsidRDefault="0062200E" w:rsidP="003517FC">
            <w:r>
              <w:t>6% (19)</w:t>
            </w:r>
          </w:p>
        </w:tc>
      </w:tr>
    </w:tbl>
    <w:p w14:paraId="2202C304" w14:textId="6D87E662" w:rsidR="00AA51D1" w:rsidRDefault="00AA51D1" w:rsidP="00AA51D1">
      <w:pPr>
        <w:pStyle w:val="Caption"/>
        <w:keepNext/>
      </w:pPr>
      <w:r>
        <w:t xml:space="preserve">Table </w:t>
      </w:r>
      <w:r>
        <w:fldChar w:fldCharType="begin"/>
      </w:r>
      <w:r>
        <w:instrText xml:space="preserve"> SEQ Table \* ARABIC </w:instrText>
      </w:r>
      <w:r>
        <w:fldChar w:fldCharType="separate"/>
      </w:r>
      <w:r w:rsidR="00291F89">
        <w:rPr>
          <w:noProof/>
        </w:rPr>
        <w:t>3</w:t>
      </w:r>
      <w:r>
        <w:fldChar w:fldCharType="end"/>
      </w:r>
      <w:r>
        <w:t>: Gender of recipients or new householders in manorial court land transfers. Overlap reflects entries where multiple parties were admitted to a single piece of land</w:t>
      </w:r>
      <w:r w:rsidR="00852C9D">
        <w:t>, and entries where the land was returned to the lord is omitted from the table.</w:t>
      </w:r>
    </w:p>
    <w:tbl>
      <w:tblPr>
        <w:tblStyle w:val="TableGrid"/>
        <w:tblW w:w="0" w:type="auto"/>
        <w:tblLook w:val="04A0" w:firstRow="1" w:lastRow="0" w:firstColumn="1" w:lastColumn="0" w:noHBand="0" w:noVBand="1"/>
      </w:tblPr>
      <w:tblGrid>
        <w:gridCol w:w="1786"/>
        <w:gridCol w:w="1491"/>
        <w:gridCol w:w="1497"/>
        <w:gridCol w:w="1409"/>
        <w:gridCol w:w="1609"/>
        <w:gridCol w:w="1224"/>
      </w:tblGrid>
      <w:tr w:rsidR="00AA51D1" w14:paraId="55365B24" w14:textId="77777777" w:rsidTr="00C321CB">
        <w:tc>
          <w:tcPr>
            <w:tcW w:w="1786" w:type="dxa"/>
          </w:tcPr>
          <w:p w14:paraId="5F003B88" w14:textId="77777777" w:rsidR="00AA51D1" w:rsidRDefault="00AA51D1" w:rsidP="003517FC">
            <w:r>
              <w:t>Manor</w:t>
            </w:r>
          </w:p>
        </w:tc>
        <w:tc>
          <w:tcPr>
            <w:tcW w:w="1491" w:type="dxa"/>
          </w:tcPr>
          <w:p w14:paraId="26F8AA66" w14:textId="77777777" w:rsidR="00AA51D1" w:rsidRDefault="00AA51D1" w:rsidP="003517FC">
            <w:r>
              <w:t>Women</w:t>
            </w:r>
          </w:p>
        </w:tc>
        <w:tc>
          <w:tcPr>
            <w:tcW w:w="1497" w:type="dxa"/>
          </w:tcPr>
          <w:p w14:paraId="2CADC44D" w14:textId="0E1B4524" w:rsidR="00AA51D1" w:rsidRDefault="00C321CB" w:rsidP="003517FC">
            <w:r>
              <w:t>Women admitted without men</w:t>
            </w:r>
          </w:p>
        </w:tc>
        <w:tc>
          <w:tcPr>
            <w:tcW w:w="1409" w:type="dxa"/>
          </w:tcPr>
          <w:p w14:paraId="21508F1F" w14:textId="77777777" w:rsidR="00AA51D1" w:rsidRDefault="00AA51D1" w:rsidP="003517FC">
            <w:r>
              <w:t>Men</w:t>
            </w:r>
          </w:p>
        </w:tc>
        <w:tc>
          <w:tcPr>
            <w:tcW w:w="1609" w:type="dxa"/>
          </w:tcPr>
          <w:p w14:paraId="2A8F673D" w14:textId="51E0EE74" w:rsidR="00AA51D1" w:rsidRDefault="00AA51D1" w:rsidP="003517FC">
            <w:r>
              <w:t xml:space="preserve">Men </w:t>
            </w:r>
            <w:r w:rsidR="00C321CB">
              <w:t>admitted without women</w:t>
            </w:r>
          </w:p>
        </w:tc>
        <w:tc>
          <w:tcPr>
            <w:tcW w:w="1224" w:type="dxa"/>
          </w:tcPr>
          <w:p w14:paraId="5A7853DE" w14:textId="580C4A12" w:rsidR="00AA51D1" w:rsidRDefault="00AA51D1" w:rsidP="003517FC">
            <w:r>
              <w:t>Unknown</w:t>
            </w:r>
          </w:p>
        </w:tc>
      </w:tr>
      <w:tr w:rsidR="00AA51D1" w14:paraId="1707AA70" w14:textId="77777777" w:rsidTr="00C321CB">
        <w:tc>
          <w:tcPr>
            <w:tcW w:w="1786" w:type="dxa"/>
          </w:tcPr>
          <w:p w14:paraId="215358B6" w14:textId="77777777" w:rsidR="00AA51D1" w:rsidRDefault="00AA51D1" w:rsidP="003517FC">
            <w:r>
              <w:t>Chilbolton (1267-1384)</w:t>
            </w:r>
          </w:p>
        </w:tc>
        <w:tc>
          <w:tcPr>
            <w:tcW w:w="1491" w:type="dxa"/>
          </w:tcPr>
          <w:p w14:paraId="157EEF6C" w14:textId="088D47D4" w:rsidR="00AA51D1" w:rsidRDefault="00AA51D1" w:rsidP="003517FC">
            <w:r>
              <w:t>29.8</w:t>
            </w:r>
            <w:r w:rsidR="009110F6">
              <w:t xml:space="preserve">% </w:t>
            </w:r>
            <w:r>
              <w:t>(17)</w:t>
            </w:r>
          </w:p>
        </w:tc>
        <w:tc>
          <w:tcPr>
            <w:tcW w:w="1497" w:type="dxa"/>
          </w:tcPr>
          <w:p w14:paraId="41B3C9A4" w14:textId="6074A91B" w:rsidR="00AA51D1" w:rsidRPr="0080445C" w:rsidRDefault="00AA51D1" w:rsidP="003517FC">
            <w:r>
              <w:t>14</w:t>
            </w:r>
            <w:r w:rsidR="00E47654">
              <w:t>%</w:t>
            </w:r>
            <w:r>
              <w:t xml:space="preserve"> (8)</w:t>
            </w:r>
          </w:p>
        </w:tc>
        <w:tc>
          <w:tcPr>
            <w:tcW w:w="1409" w:type="dxa"/>
          </w:tcPr>
          <w:p w14:paraId="294B7664" w14:textId="5368C8C7" w:rsidR="00AA51D1" w:rsidRDefault="00AA51D1" w:rsidP="003517FC">
            <w:r>
              <w:t>84.2</w:t>
            </w:r>
            <w:r w:rsidR="00E47654">
              <w:t>%</w:t>
            </w:r>
            <w:r>
              <w:t xml:space="preserve"> (48)</w:t>
            </w:r>
          </w:p>
        </w:tc>
        <w:tc>
          <w:tcPr>
            <w:tcW w:w="1609" w:type="dxa"/>
          </w:tcPr>
          <w:p w14:paraId="4F099DB0" w14:textId="0BCCEA53" w:rsidR="00AA51D1" w:rsidRDefault="00AA51D1" w:rsidP="003517FC">
            <w:r>
              <w:t>68.4</w:t>
            </w:r>
            <w:r w:rsidR="00E47654">
              <w:t>%</w:t>
            </w:r>
            <w:r>
              <w:t xml:space="preserve"> (39)</w:t>
            </w:r>
          </w:p>
        </w:tc>
        <w:tc>
          <w:tcPr>
            <w:tcW w:w="1224" w:type="dxa"/>
          </w:tcPr>
          <w:p w14:paraId="3EF34E17" w14:textId="77777777" w:rsidR="00AA51D1" w:rsidRDefault="00AA51D1" w:rsidP="003517FC">
            <w:r>
              <w:t>-</w:t>
            </w:r>
          </w:p>
        </w:tc>
      </w:tr>
      <w:tr w:rsidR="00AA51D1" w14:paraId="7AF2D773" w14:textId="77777777" w:rsidTr="00C321CB">
        <w:tc>
          <w:tcPr>
            <w:tcW w:w="1786" w:type="dxa"/>
          </w:tcPr>
          <w:p w14:paraId="1C225B9D" w14:textId="77777777" w:rsidR="00AA51D1" w:rsidRDefault="00AA51D1" w:rsidP="003517FC">
            <w:r>
              <w:t>Houghton (1267-1325)</w:t>
            </w:r>
          </w:p>
        </w:tc>
        <w:tc>
          <w:tcPr>
            <w:tcW w:w="1491" w:type="dxa"/>
          </w:tcPr>
          <w:p w14:paraId="6D21501A" w14:textId="02633D0C" w:rsidR="00AA51D1" w:rsidRDefault="00AA51D1" w:rsidP="003517FC">
            <w:r>
              <w:t>54.3</w:t>
            </w:r>
            <w:r w:rsidR="009110F6">
              <w:t xml:space="preserve">% </w:t>
            </w:r>
            <w:r>
              <w:t>(19)</w:t>
            </w:r>
          </w:p>
        </w:tc>
        <w:tc>
          <w:tcPr>
            <w:tcW w:w="1497" w:type="dxa"/>
          </w:tcPr>
          <w:p w14:paraId="320AECE2" w14:textId="5822B41D" w:rsidR="00AA51D1" w:rsidRPr="0058278D" w:rsidRDefault="00AA51D1" w:rsidP="003517FC">
            <w:r>
              <w:t>51.4</w:t>
            </w:r>
            <w:r w:rsidR="009110F6">
              <w:t xml:space="preserve">% </w:t>
            </w:r>
            <w:r>
              <w:t>(18)</w:t>
            </w:r>
          </w:p>
        </w:tc>
        <w:tc>
          <w:tcPr>
            <w:tcW w:w="1409" w:type="dxa"/>
          </w:tcPr>
          <w:p w14:paraId="682E6241" w14:textId="337A72C7" w:rsidR="00AA51D1" w:rsidRDefault="00AA51D1" w:rsidP="003517FC">
            <w:r>
              <w:t>48.6</w:t>
            </w:r>
            <w:r w:rsidR="009110F6">
              <w:t xml:space="preserve">% </w:t>
            </w:r>
            <w:r>
              <w:t>(18)</w:t>
            </w:r>
          </w:p>
        </w:tc>
        <w:tc>
          <w:tcPr>
            <w:tcW w:w="1609" w:type="dxa"/>
          </w:tcPr>
          <w:p w14:paraId="567C54BE" w14:textId="2F55163B" w:rsidR="00AA51D1" w:rsidRDefault="00AA51D1" w:rsidP="003517FC">
            <w:r>
              <w:t>42.8</w:t>
            </w:r>
            <w:r w:rsidR="00E47654">
              <w:t>%</w:t>
            </w:r>
            <w:r>
              <w:t xml:space="preserve"> (15)</w:t>
            </w:r>
          </w:p>
        </w:tc>
        <w:tc>
          <w:tcPr>
            <w:tcW w:w="1224" w:type="dxa"/>
          </w:tcPr>
          <w:p w14:paraId="7ACBE3E6" w14:textId="77777777" w:rsidR="00AA51D1" w:rsidRDefault="00AA51D1" w:rsidP="003517FC">
            <w:r>
              <w:t>-</w:t>
            </w:r>
          </w:p>
        </w:tc>
      </w:tr>
      <w:tr w:rsidR="00AA51D1" w14:paraId="72E6D123" w14:textId="77777777" w:rsidTr="00C321CB">
        <w:tc>
          <w:tcPr>
            <w:tcW w:w="1786" w:type="dxa"/>
          </w:tcPr>
          <w:p w14:paraId="5140625E" w14:textId="77777777" w:rsidR="00AA51D1" w:rsidRDefault="00AA51D1" w:rsidP="003517FC">
            <w:r>
              <w:t>Michelmersh (1267-1331)</w:t>
            </w:r>
          </w:p>
        </w:tc>
        <w:tc>
          <w:tcPr>
            <w:tcW w:w="1491" w:type="dxa"/>
          </w:tcPr>
          <w:p w14:paraId="2E0A9946" w14:textId="6CE60D2F" w:rsidR="00AA51D1" w:rsidRDefault="00AA51D1" w:rsidP="003517FC">
            <w:r>
              <w:t>47.2</w:t>
            </w:r>
            <w:r w:rsidR="009110F6">
              <w:t xml:space="preserve">% </w:t>
            </w:r>
            <w:r>
              <w:t>(25)</w:t>
            </w:r>
          </w:p>
        </w:tc>
        <w:tc>
          <w:tcPr>
            <w:tcW w:w="1497" w:type="dxa"/>
          </w:tcPr>
          <w:p w14:paraId="67A6E633" w14:textId="061E7752" w:rsidR="00AA51D1" w:rsidRPr="00FF46B2" w:rsidRDefault="00AA51D1" w:rsidP="003517FC">
            <w:r>
              <w:t>41.1</w:t>
            </w:r>
            <w:r w:rsidR="009110F6">
              <w:t xml:space="preserve">% </w:t>
            </w:r>
            <w:r>
              <w:t>(23)</w:t>
            </w:r>
          </w:p>
        </w:tc>
        <w:tc>
          <w:tcPr>
            <w:tcW w:w="1409" w:type="dxa"/>
          </w:tcPr>
          <w:p w14:paraId="08DA0F38" w14:textId="487CA489" w:rsidR="00AA51D1" w:rsidRDefault="00AA51D1" w:rsidP="003517FC">
            <w:r>
              <w:t>52.8</w:t>
            </w:r>
            <w:r w:rsidR="009110F6">
              <w:t xml:space="preserve">% </w:t>
            </w:r>
            <w:r>
              <w:t>(28)</w:t>
            </w:r>
          </w:p>
        </w:tc>
        <w:tc>
          <w:tcPr>
            <w:tcW w:w="1609" w:type="dxa"/>
          </w:tcPr>
          <w:p w14:paraId="30867EE8" w14:textId="7CCAAB06" w:rsidR="00AA51D1" w:rsidRDefault="00AA51D1" w:rsidP="003517FC">
            <w:r>
              <w:t>46.4</w:t>
            </w:r>
            <w:r w:rsidR="00E47654">
              <w:t>%</w:t>
            </w:r>
            <w:r>
              <w:t xml:space="preserve"> (26)</w:t>
            </w:r>
          </w:p>
        </w:tc>
        <w:tc>
          <w:tcPr>
            <w:tcW w:w="1224" w:type="dxa"/>
          </w:tcPr>
          <w:p w14:paraId="32BF6086" w14:textId="77777777" w:rsidR="00AA51D1" w:rsidRDefault="00AA51D1" w:rsidP="003517FC">
            <w:r>
              <w:t>-</w:t>
            </w:r>
          </w:p>
        </w:tc>
      </w:tr>
      <w:tr w:rsidR="00AA51D1" w14:paraId="1BA51089" w14:textId="77777777" w:rsidTr="00C321CB">
        <w:tc>
          <w:tcPr>
            <w:tcW w:w="1786" w:type="dxa"/>
          </w:tcPr>
          <w:p w14:paraId="1BF23177" w14:textId="159D15FB" w:rsidR="00AA51D1" w:rsidRPr="005D374A" w:rsidRDefault="00AA51D1" w:rsidP="003517FC">
            <w:pPr>
              <w:rPr>
                <w:b/>
                <w:bCs/>
                <w:u w:val="single"/>
              </w:rPr>
            </w:pPr>
            <w:r>
              <w:t xml:space="preserve">Southwick </w:t>
            </w:r>
            <w:r w:rsidR="00AF095A">
              <w:t>(1308-1396, 3</w:t>
            </w:r>
            <w:r w:rsidR="001941E5">
              <w:t>4</w:t>
            </w:r>
            <w:r w:rsidR="00AF095A">
              <w:t>5 total)</w:t>
            </w:r>
          </w:p>
        </w:tc>
        <w:tc>
          <w:tcPr>
            <w:tcW w:w="1491" w:type="dxa"/>
          </w:tcPr>
          <w:p w14:paraId="35605E8C" w14:textId="62A8546E" w:rsidR="00AA51D1" w:rsidRDefault="00792BF0" w:rsidP="003517FC">
            <w:r>
              <w:t>57.9% (206)</w:t>
            </w:r>
          </w:p>
        </w:tc>
        <w:tc>
          <w:tcPr>
            <w:tcW w:w="1497" w:type="dxa"/>
          </w:tcPr>
          <w:p w14:paraId="4D18032A" w14:textId="6BD2BCD0" w:rsidR="00AA51D1" w:rsidRDefault="00B056A9" w:rsidP="003517FC">
            <w:r>
              <w:t>20.8% (74)</w:t>
            </w:r>
          </w:p>
        </w:tc>
        <w:tc>
          <w:tcPr>
            <w:tcW w:w="1409" w:type="dxa"/>
          </w:tcPr>
          <w:p w14:paraId="2D3E4816" w14:textId="7228FBF2" w:rsidR="00AA51D1" w:rsidRDefault="00B056A9" w:rsidP="003517FC">
            <w:r>
              <w:t>77.8% (277)</w:t>
            </w:r>
          </w:p>
        </w:tc>
        <w:tc>
          <w:tcPr>
            <w:tcW w:w="1609" w:type="dxa"/>
          </w:tcPr>
          <w:p w14:paraId="49604810" w14:textId="5146E171" w:rsidR="00AA51D1" w:rsidRDefault="0022208F" w:rsidP="003517FC">
            <w:r>
              <w:t>40.7% (145)</w:t>
            </w:r>
          </w:p>
        </w:tc>
        <w:tc>
          <w:tcPr>
            <w:tcW w:w="1224" w:type="dxa"/>
          </w:tcPr>
          <w:p w14:paraId="0DB96003" w14:textId="0EE0F902" w:rsidR="00AA51D1" w:rsidRDefault="0022208F" w:rsidP="003517FC">
            <w:r>
              <w:t>1.4% (5)</w:t>
            </w:r>
          </w:p>
        </w:tc>
      </w:tr>
    </w:tbl>
    <w:p w14:paraId="690D8BE9" w14:textId="37EDADDB" w:rsidR="009C1FC9" w:rsidRDefault="004B1D11" w:rsidP="000D7A00">
      <w:pPr>
        <w:spacing w:before="240"/>
      </w:pPr>
      <w:r>
        <w:t>However, p</w:t>
      </w:r>
      <w:r w:rsidR="00705548">
        <w:t>easant women</w:t>
      </w:r>
      <w:r>
        <w:t>’s ability to hold land</w:t>
      </w:r>
      <w:r w:rsidR="00705548">
        <w:t xml:space="preserve"> </w:t>
      </w:r>
      <w:r>
        <w:t>was</w:t>
      </w:r>
      <w:r w:rsidR="00705548">
        <w:t xml:space="preserve"> more directly affected by </w:t>
      </w:r>
      <w:r>
        <w:t xml:space="preserve">customary law than scribal omissions. One such custom </w:t>
      </w:r>
      <w:r w:rsidR="006C49D8">
        <w:t xml:space="preserve">was the ability of a widow to transmit her deceased husband’s land upon remarriage. </w:t>
      </w:r>
      <w:r w:rsidR="00176704">
        <w:t>As Titow (</w:t>
      </w:r>
      <w:r w:rsidR="00CC40F4">
        <w:t>1962</w:t>
      </w:r>
      <w:r w:rsidR="0017152B">
        <w:t>:</w:t>
      </w:r>
      <w:r w:rsidR="00FF24D5">
        <w:t xml:space="preserve"> </w:t>
      </w:r>
      <w:r w:rsidR="0017152B">
        <w:t>6-7</w:t>
      </w:r>
      <w:r w:rsidR="00CC40F4">
        <w:t>) and Postan</w:t>
      </w:r>
      <w:r w:rsidR="00F003D1">
        <w:t xml:space="preserve"> (1966</w:t>
      </w:r>
      <w:r w:rsidR="0017152B">
        <w:t>:</w:t>
      </w:r>
      <w:r w:rsidR="00FF24D5">
        <w:t xml:space="preserve"> </w:t>
      </w:r>
      <w:r w:rsidR="0017152B">
        <w:t>564</w:t>
      </w:r>
      <w:r w:rsidR="00F003D1">
        <w:t xml:space="preserve">) both noted, </w:t>
      </w:r>
      <w:r w:rsidR="00A45A3B">
        <w:t xml:space="preserve">a </w:t>
      </w:r>
      <w:r w:rsidR="00A45A3B">
        <w:lastRenderedPageBreak/>
        <w:t>widow’s remarriage presented a major opportunity to unmarried, unlanded men who sought to become householders themselves</w:t>
      </w:r>
      <w:r w:rsidR="00175F0F">
        <w:t xml:space="preserve">. Chilbolton, Michelmersh, Houghton, and parts of Southwick all allowed </w:t>
      </w:r>
      <w:r w:rsidR="00B03B8B">
        <w:t xml:space="preserve">a widow’s second husband to </w:t>
      </w:r>
      <w:r w:rsidR="00CD70C6">
        <w:t>become a tenant to her</w:t>
      </w:r>
      <w:r w:rsidR="002266FD">
        <w:t xml:space="preserve"> deceased husband’s land</w:t>
      </w:r>
      <w:r w:rsidR="007B3B34">
        <w:t xml:space="preserve">. </w:t>
      </w:r>
      <w:r w:rsidR="00862AB2">
        <w:t>This gave widows some</w:t>
      </w:r>
      <w:r w:rsidR="002E50EF">
        <w:t xml:space="preserve"> agency in </w:t>
      </w:r>
      <w:r w:rsidR="00336170">
        <w:t xml:space="preserve">determining whom would join them as a spouse and partner in tenancy, </w:t>
      </w:r>
      <w:r w:rsidR="004C454D">
        <w:t>although this agency may have been restricted by the economic reality requiring such a partner to contribute to the household to sustain any children the widow brought into her remarriage.</w:t>
      </w:r>
      <w:r w:rsidR="00565E77">
        <w:t xml:space="preserve"> This was a common decision amongst widows, with between a fifth and quarter of all transactions in Chilbolton, Houghton, and Michelmersh involving a woman transferring her land to her new husband.</w:t>
      </w:r>
      <w:r w:rsidR="000C6EFA">
        <w:t xml:space="preserve"> By contrast, this makes up only </w:t>
      </w:r>
      <w:r w:rsidR="001D4C8B">
        <w:t>2.7</w:t>
      </w:r>
      <w:r w:rsidR="00E47654">
        <w:t xml:space="preserve"> percent</w:t>
      </w:r>
      <w:r w:rsidR="000C6EFA">
        <w:t xml:space="preserve"> of Southwick’s land transactions, suggesting that </w:t>
      </w:r>
      <w:r w:rsidR="001F65A7">
        <w:t xml:space="preserve">the areas which allowed widows to transfer land were </w:t>
      </w:r>
      <w:r w:rsidR="000D7A00">
        <w:t>particularly inactive</w:t>
      </w:r>
      <w:r w:rsidR="007C2C59">
        <w:t xml:space="preserve"> in the land market, </w:t>
      </w:r>
      <w:r w:rsidR="00433A97">
        <w:t>or that these were cases of heiresses transferring their lands to their husband</w:t>
      </w:r>
      <w:r w:rsidR="004D1749">
        <w:t xml:space="preserve"> and that widow remarriage was </w:t>
      </w:r>
      <w:r w:rsidR="004D1749">
        <w:rPr>
          <w:i/>
          <w:iCs/>
        </w:rPr>
        <w:t>de facto</w:t>
      </w:r>
      <w:r w:rsidR="004D1749">
        <w:t xml:space="preserve"> non-existent</w:t>
      </w:r>
      <w:r w:rsidR="00433A97">
        <w:t>.</w:t>
      </w:r>
    </w:p>
    <w:p w14:paraId="40046AFF" w14:textId="2C6FB9D0" w:rsidR="001D4C8B" w:rsidRDefault="00372C71" w:rsidP="004045DB">
      <w:r>
        <w:t xml:space="preserve">Faith has argued that this custom </w:t>
      </w:r>
      <w:r w:rsidR="00443F34">
        <w:t>reduced the likelihood of a daughter inheriting land,</w:t>
      </w:r>
      <w:r w:rsidR="0017152B">
        <w:t xml:space="preserve"> but Table 5 shows a </w:t>
      </w:r>
      <w:r w:rsidR="00D039A4">
        <w:t xml:space="preserve">more complex story. </w:t>
      </w:r>
      <w:r w:rsidR="00AF4086">
        <w:t xml:space="preserve">In Houghton, which had significantly smaller and poorer plots than Chilbolton and Michelmersh, daughters made up over </w:t>
      </w:r>
      <w:r w:rsidR="001A72AB">
        <w:t>10</w:t>
      </w:r>
      <w:r w:rsidR="00E47654">
        <w:t xml:space="preserve"> percent</w:t>
      </w:r>
      <w:r w:rsidR="001A72AB">
        <w:t xml:space="preserve"> of tenants despite the prominence of widow remarriage. </w:t>
      </w:r>
      <w:r w:rsidR="000837C0">
        <w:t xml:space="preserve">Houghton’s records </w:t>
      </w:r>
      <w:r w:rsidR="00332BB1">
        <w:t>predated</w:t>
      </w:r>
      <w:r w:rsidR="000837C0">
        <w:t xml:space="preserve"> the Black Death, which has occasionally been argued to have improved rates of female landholding, suggesting a different cau</w:t>
      </w:r>
      <w:r w:rsidR="0092273C">
        <w:t xml:space="preserve">se behind its inheritance rates. </w:t>
      </w:r>
      <w:r w:rsidR="001A72AB">
        <w:t xml:space="preserve">Southwick, which largely prohibited widow remarriage, </w:t>
      </w:r>
      <w:r w:rsidR="00FC2FC8">
        <w:t>has a similar level of daughter inheritance to Chilbolton, which may be the result of other factors.</w:t>
      </w:r>
    </w:p>
    <w:p w14:paraId="411B0BCE" w14:textId="7D512119" w:rsidR="006C49D8" w:rsidRPr="007C2C59" w:rsidRDefault="00BA5871" w:rsidP="004045DB">
      <w:r>
        <w:t xml:space="preserve">Southwick was far more likely to omit any relationship between the former and new tenants compared to St Swithun’s manors, with nearly two-thirds of all transactions </w:t>
      </w:r>
      <w:r w:rsidR="00B12992">
        <w:t xml:space="preserve">omitting such information. It is possible that the rate of daughter inheritance was far higher than can be concretely </w:t>
      </w:r>
      <w:r w:rsidR="00954236">
        <w:t xml:space="preserve">shown, particularly as women entered land as sole tenants in </w:t>
      </w:r>
      <w:r w:rsidR="006373DD">
        <w:t>20.</w:t>
      </w:r>
      <w:r w:rsidR="001D4C8B">
        <w:t>8</w:t>
      </w:r>
      <w:r w:rsidR="00E47654">
        <w:t xml:space="preserve"> percent</w:t>
      </w:r>
      <w:r w:rsidR="00954236">
        <w:t xml:space="preserve"> of all land transactions.</w:t>
      </w:r>
      <w:r w:rsidR="00883585">
        <w:t xml:space="preserve"> Southwick </w:t>
      </w:r>
      <w:r w:rsidR="00EE03D3">
        <w:t>also has a far wider range of extant rolls than St Swithun’s manors, and this paper does not account for chronological variations over time in any depth</w:t>
      </w:r>
      <w:r w:rsidR="00D00DDE">
        <w:t>. It was also a far wealthier manor than Houghton, which paid 10s. 5d. in the 1327 tax of one-twentieth to Southwick’s 37s. 8d.</w:t>
      </w:r>
      <w:r w:rsidR="00354C50">
        <w:t>, which likely omits portions of the manor that ran along the coast from Portchester to Portsea</w:t>
      </w:r>
      <w:r w:rsidR="006F1C25">
        <w:t>, suggesting that Houghton’s poverty may have been a factor</w:t>
      </w:r>
      <w:r w:rsidR="00354C50">
        <w:t>.</w:t>
      </w:r>
      <w:r w:rsidR="00354C50">
        <w:rPr>
          <w:rStyle w:val="FootnoteReference"/>
        </w:rPr>
        <w:footnoteReference w:id="2"/>
      </w:r>
      <w:r w:rsidR="004045DB">
        <w:t xml:space="preserve"> </w:t>
      </w:r>
      <w:r w:rsidR="006F1C25">
        <w:t>However, this</w:t>
      </w:r>
      <w:r w:rsidR="004045DB">
        <w:t xml:space="preserve"> is nothing in its custumal or court rolls to suggest any reason for such a difference, </w:t>
      </w:r>
      <w:r w:rsidR="006F1C25">
        <w:t>leaving it as an area for further investigation.</w:t>
      </w:r>
    </w:p>
    <w:p w14:paraId="4468ECD4" w14:textId="6B0A2C66" w:rsidR="00AA51D1" w:rsidRDefault="00AA51D1" w:rsidP="00AA51D1">
      <w:pPr>
        <w:pStyle w:val="Caption"/>
        <w:keepNext/>
      </w:pPr>
      <w:r>
        <w:t xml:space="preserve">Table </w:t>
      </w:r>
      <w:r>
        <w:fldChar w:fldCharType="begin"/>
      </w:r>
      <w:r>
        <w:instrText xml:space="preserve"> SEQ Table \* ARABIC </w:instrText>
      </w:r>
      <w:r>
        <w:fldChar w:fldCharType="separate"/>
      </w:r>
      <w:r w:rsidR="00291F89">
        <w:rPr>
          <w:noProof/>
        </w:rPr>
        <w:t>4</w:t>
      </w:r>
      <w:r>
        <w:fldChar w:fldCharType="end"/>
      </w:r>
      <w:r>
        <w:t xml:space="preserve">: Relationships between transferers and recipients in land transactions. </w:t>
      </w:r>
      <w:r w:rsidR="00973AD3">
        <w:t xml:space="preserve">Not applicable refers to cases where land reverted to the lord. </w:t>
      </w:r>
      <w:r w:rsidR="00485D0F">
        <w:rPr>
          <w:noProof/>
        </w:rPr>
        <w:t xml:space="preserve">The second row of percentages </w:t>
      </w:r>
      <w:r w:rsidR="00332BB1">
        <w:rPr>
          <w:noProof/>
        </w:rPr>
        <w:t xml:space="preserve">under </w:t>
      </w:r>
      <w:r w:rsidR="00485D0F">
        <w:rPr>
          <w:noProof/>
        </w:rPr>
        <w:t>Southwick is based on the number of cases with known relationships rather than all</w:t>
      </w:r>
      <w:r w:rsidR="00332BB1">
        <w:rPr>
          <w:noProof/>
        </w:rPr>
        <w:t xml:space="preserve"> land transactions.</w:t>
      </w:r>
    </w:p>
    <w:tbl>
      <w:tblPr>
        <w:tblStyle w:val="TableGrid"/>
        <w:tblW w:w="0" w:type="auto"/>
        <w:tblLook w:val="04A0" w:firstRow="1" w:lastRow="0" w:firstColumn="1" w:lastColumn="0" w:noHBand="0" w:noVBand="1"/>
      </w:tblPr>
      <w:tblGrid>
        <w:gridCol w:w="1479"/>
        <w:gridCol w:w="1298"/>
        <w:gridCol w:w="1165"/>
        <w:gridCol w:w="1165"/>
        <w:gridCol w:w="1330"/>
        <w:gridCol w:w="1106"/>
        <w:gridCol w:w="1473"/>
      </w:tblGrid>
      <w:tr w:rsidR="00AA51D1" w14:paraId="7E83A711" w14:textId="77777777" w:rsidTr="003517FC">
        <w:tc>
          <w:tcPr>
            <w:tcW w:w="1483" w:type="dxa"/>
          </w:tcPr>
          <w:p w14:paraId="08524966" w14:textId="77777777" w:rsidR="00AA51D1" w:rsidRDefault="00AA51D1" w:rsidP="003517FC">
            <w:r>
              <w:t>Manor</w:t>
            </w:r>
          </w:p>
        </w:tc>
        <w:tc>
          <w:tcPr>
            <w:tcW w:w="1322" w:type="dxa"/>
          </w:tcPr>
          <w:p w14:paraId="57D6935D" w14:textId="77777777" w:rsidR="00AA51D1" w:rsidRDefault="00AA51D1" w:rsidP="003517FC">
            <w:r>
              <w:t>Husband</w:t>
            </w:r>
          </w:p>
        </w:tc>
        <w:tc>
          <w:tcPr>
            <w:tcW w:w="1205" w:type="dxa"/>
          </w:tcPr>
          <w:p w14:paraId="5DE0314C" w14:textId="77777777" w:rsidR="00AA51D1" w:rsidRDefault="00AA51D1" w:rsidP="003517FC">
            <w:r>
              <w:t>Wife</w:t>
            </w:r>
          </w:p>
        </w:tc>
        <w:tc>
          <w:tcPr>
            <w:tcW w:w="1205" w:type="dxa"/>
          </w:tcPr>
          <w:p w14:paraId="7CD01AA1" w14:textId="77777777" w:rsidR="00AA51D1" w:rsidRDefault="00AA51D1" w:rsidP="003517FC">
            <w:r>
              <w:t>Son</w:t>
            </w:r>
          </w:p>
        </w:tc>
        <w:tc>
          <w:tcPr>
            <w:tcW w:w="1159" w:type="dxa"/>
          </w:tcPr>
          <w:p w14:paraId="569A9384" w14:textId="399E8356" w:rsidR="00AA51D1" w:rsidRDefault="00AA51D1" w:rsidP="003517FC">
            <w:r>
              <w:t>Daughter</w:t>
            </w:r>
            <w:r w:rsidR="009B3714">
              <w:t>(s)</w:t>
            </w:r>
          </w:p>
        </w:tc>
        <w:tc>
          <w:tcPr>
            <w:tcW w:w="1140" w:type="dxa"/>
          </w:tcPr>
          <w:p w14:paraId="031A00B4" w14:textId="77777777" w:rsidR="00AA51D1" w:rsidRDefault="00AA51D1" w:rsidP="003517FC">
            <w:r>
              <w:t xml:space="preserve">Other </w:t>
            </w:r>
          </w:p>
        </w:tc>
        <w:tc>
          <w:tcPr>
            <w:tcW w:w="1502" w:type="dxa"/>
          </w:tcPr>
          <w:p w14:paraId="1799B363" w14:textId="6D109294" w:rsidR="00AA51D1" w:rsidRDefault="00AA51D1" w:rsidP="003517FC">
            <w:r>
              <w:t>Unknown</w:t>
            </w:r>
            <w:r w:rsidR="00973AD3">
              <w:t xml:space="preserve"> or not applicable</w:t>
            </w:r>
          </w:p>
        </w:tc>
      </w:tr>
      <w:tr w:rsidR="00AA51D1" w14:paraId="236929FC" w14:textId="77777777" w:rsidTr="003517FC">
        <w:tc>
          <w:tcPr>
            <w:tcW w:w="1483" w:type="dxa"/>
          </w:tcPr>
          <w:p w14:paraId="1BAD40AC" w14:textId="77777777" w:rsidR="00AA51D1" w:rsidRDefault="00AA51D1" w:rsidP="003517FC">
            <w:r>
              <w:t>Chilbolton (1267-1384)</w:t>
            </w:r>
          </w:p>
        </w:tc>
        <w:tc>
          <w:tcPr>
            <w:tcW w:w="1322" w:type="dxa"/>
          </w:tcPr>
          <w:p w14:paraId="6096C5F2" w14:textId="6E829D9C" w:rsidR="00AA51D1" w:rsidRDefault="00AA51D1" w:rsidP="003517FC">
            <w:r>
              <w:t>25.8</w:t>
            </w:r>
            <w:r w:rsidR="00E47654">
              <w:t xml:space="preserve">% </w:t>
            </w:r>
            <w:r>
              <w:t>(16)</w:t>
            </w:r>
          </w:p>
        </w:tc>
        <w:tc>
          <w:tcPr>
            <w:tcW w:w="1205" w:type="dxa"/>
          </w:tcPr>
          <w:p w14:paraId="1334CF5A" w14:textId="2FA90FC0" w:rsidR="00AA51D1" w:rsidRDefault="00AA51D1" w:rsidP="003517FC">
            <w:r>
              <w:t>8.1</w:t>
            </w:r>
            <w:r w:rsidR="00E47654">
              <w:t>%</w:t>
            </w:r>
            <w:r>
              <w:t xml:space="preserve"> (5)</w:t>
            </w:r>
          </w:p>
        </w:tc>
        <w:tc>
          <w:tcPr>
            <w:tcW w:w="1205" w:type="dxa"/>
          </w:tcPr>
          <w:p w14:paraId="6C035B87" w14:textId="137B1EBB" w:rsidR="00AA51D1" w:rsidRDefault="00AA51D1" w:rsidP="003517FC">
            <w:r>
              <w:t>21</w:t>
            </w:r>
            <w:r w:rsidR="00E47654">
              <w:t>%</w:t>
            </w:r>
            <w:r>
              <w:t xml:space="preserve"> (13)</w:t>
            </w:r>
          </w:p>
        </w:tc>
        <w:tc>
          <w:tcPr>
            <w:tcW w:w="1159" w:type="dxa"/>
          </w:tcPr>
          <w:p w14:paraId="57DB2DD9" w14:textId="161D3D1B" w:rsidR="00AA51D1" w:rsidRDefault="00AA51D1" w:rsidP="003517FC">
            <w:r>
              <w:t>1.6</w:t>
            </w:r>
            <w:r w:rsidR="00E47654">
              <w:t>%</w:t>
            </w:r>
            <w:r>
              <w:t xml:space="preserve"> (1)</w:t>
            </w:r>
          </w:p>
        </w:tc>
        <w:tc>
          <w:tcPr>
            <w:tcW w:w="1140" w:type="dxa"/>
          </w:tcPr>
          <w:p w14:paraId="0E7AB594" w14:textId="63A47D42" w:rsidR="00AA51D1" w:rsidRDefault="00AA51D1" w:rsidP="003517FC">
            <w:r>
              <w:t>11.3</w:t>
            </w:r>
            <w:r w:rsidR="00E47654">
              <w:t>%</w:t>
            </w:r>
            <w:r>
              <w:t xml:space="preserve"> (7)</w:t>
            </w:r>
          </w:p>
        </w:tc>
        <w:tc>
          <w:tcPr>
            <w:tcW w:w="1502" w:type="dxa"/>
          </w:tcPr>
          <w:p w14:paraId="149496C8" w14:textId="435BE10B" w:rsidR="00AA51D1" w:rsidRDefault="00AA51D1" w:rsidP="003517FC">
            <w:r>
              <w:t>32.3</w:t>
            </w:r>
            <w:r w:rsidR="00E47654">
              <w:t>%</w:t>
            </w:r>
            <w:r>
              <w:t xml:space="preserve"> (20)</w:t>
            </w:r>
          </w:p>
        </w:tc>
      </w:tr>
      <w:tr w:rsidR="00AA51D1" w14:paraId="051F786B" w14:textId="77777777" w:rsidTr="003517FC">
        <w:tc>
          <w:tcPr>
            <w:tcW w:w="1483" w:type="dxa"/>
          </w:tcPr>
          <w:p w14:paraId="147C6C49" w14:textId="77777777" w:rsidR="00AA51D1" w:rsidRDefault="00AA51D1" w:rsidP="003517FC">
            <w:r>
              <w:t>Houghton (1267-1325)</w:t>
            </w:r>
          </w:p>
        </w:tc>
        <w:tc>
          <w:tcPr>
            <w:tcW w:w="1322" w:type="dxa"/>
          </w:tcPr>
          <w:p w14:paraId="0452E7CB" w14:textId="7063C58E" w:rsidR="00AA51D1" w:rsidRDefault="00AA51D1" w:rsidP="003517FC">
            <w:r>
              <w:t>20</w:t>
            </w:r>
            <w:r w:rsidR="00E47654">
              <w:t xml:space="preserve">% </w:t>
            </w:r>
            <w:r>
              <w:t>(7)</w:t>
            </w:r>
          </w:p>
        </w:tc>
        <w:tc>
          <w:tcPr>
            <w:tcW w:w="1205" w:type="dxa"/>
          </w:tcPr>
          <w:p w14:paraId="7B92FDDB" w14:textId="6E4BB693" w:rsidR="00AA51D1" w:rsidRDefault="00AA51D1" w:rsidP="003517FC">
            <w:r>
              <w:t>28.6</w:t>
            </w:r>
            <w:r w:rsidR="00E47654">
              <w:t>%</w:t>
            </w:r>
            <w:r>
              <w:t xml:space="preserve"> (10)</w:t>
            </w:r>
          </w:p>
        </w:tc>
        <w:tc>
          <w:tcPr>
            <w:tcW w:w="1205" w:type="dxa"/>
          </w:tcPr>
          <w:p w14:paraId="5121B3B8" w14:textId="6FB23FEB" w:rsidR="00AA51D1" w:rsidRDefault="00AA51D1" w:rsidP="003517FC">
            <w:r>
              <w:t>14.3</w:t>
            </w:r>
            <w:r w:rsidR="00E47654">
              <w:t>%</w:t>
            </w:r>
            <w:r>
              <w:t xml:space="preserve"> (5)</w:t>
            </w:r>
          </w:p>
        </w:tc>
        <w:tc>
          <w:tcPr>
            <w:tcW w:w="1159" w:type="dxa"/>
          </w:tcPr>
          <w:p w14:paraId="14F868BF" w14:textId="6BF49D03" w:rsidR="00AA51D1" w:rsidRDefault="00AA51D1" w:rsidP="003517FC">
            <w:r>
              <w:t>11.4</w:t>
            </w:r>
            <w:r w:rsidR="00E47654">
              <w:t>%</w:t>
            </w:r>
            <w:r>
              <w:t xml:space="preserve"> (4)</w:t>
            </w:r>
          </w:p>
        </w:tc>
        <w:tc>
          <w:tcPr>
            <w:tcW w:w="1140" w:type="dxa"/>
          </w:tcPr>
          <w:p w14:paraId="18D72521" w14:textId="6A58CE56" w:rsidR="00AA51D1" w:rsidRDefault="00AA51D1" w:rsidP="003517FC">
            <w:r>
              <w:t>5.8</w:t>
            </w:r>
            <w:r w:rsidR="00E47654">
              <w:t>%</w:t>
            </w:r>
            <w:r>
              <w:t xml:space="preserve"> (2)</w:t>
            </w:r>
          </w:p>
        </w:tc>
        <w:tc>
          <w:tcPr>
            <w:tcW w:w="1502" w:type="dxa"/>
          </w:tcPr>
          <w:p w14:paraId="10B8303E" w14:textId="095566A3" w:rsidR="00AA51D1" w:rsidRDefault="00AA51D1" w:rsidP="003517FC">
            <w:r>
              <w:t>20</w:t>
            </w:r>
            <w:r w:rsidR="00E47654">
              <w:t>%</w:t>
            </w:r>
            <w:r>
              <w:t xml:space="preserve"> (7)</w:t>
            </w:r>
          </w:p>
        </w:tc>
      </w:tr>
      <w:tr w:rsidR="00AA51D1" w14:paraId="1BE036C7" w14:textId="77777777" w:rsidTr="003517FC">
        <w:tc>
          <w:tcPr>
            <w:tcW w:w="1483" w:type="dxa"/>
          </w:tcPr>
          <w:p w14:paraId="235B55B3" w14:textId="77777777" w:rsidR="00AA51D1" w:rsidRDefault="00AA51D1" w:rsidP="003517FC">
            <w:r>
              <w:t>Michelmersh (1267-1331)</w:t>
            </w:r>
          </w:p>
        </w:tc>
        <w:tc>
          <w:tcPr>
            <w:tcW w:w="1322" w:type="dxa"/>
          </w:tcPr>
          <w:p w14:paraId="01F369AE" w14:textId="76A7B7FC" w:rsidR="00AA51D1" w:rsidRDefault="00AA51D1" w:rsidP="003517FC">
            <w:r>
              <w:t>24.5</w:t>
            </w:r>
            <w:r w:rsidR="00E47654">
              <w:t>%</w:t>
            </w:r>
            <w:r>
              <w:t xml:space="preserve"> (13)</w:t>
            </w:r>
          </w:p>
        </w:tc>
        <w:tc>
          <w:tcPr>
            <w:tcW w:w="1205" w:type="dxa"/>
          </w:tcPr>
          <w:p w14:paraId="7229EDC8" w14:textId="1231FF42" w:rsidR="00AA51D1" w:rsidRDefault="00AA51D1" w:rsidP="003517FC">
            <w:r>
              <w:t>34</w:t>
            </w:r>
            <w:r w:rsidR="00E47654">
              <w:t>%</w:t>
            </w:r>
            <w:r>
              <w:t xml:space="preserve"> (18)</w:t>
            </w:r>
          </w:p>
        </w:tc>
        <w:tc>
          <w:tcPr>
            <w:tcW w:w="1205" w:type="dxa"/>
          </w:tcPr>
          <w:p w14:paraId="4D940CFD" w14:textId="64BD070F" w:rsidR="00AA51D1" w:rsidRDefault="00AA51D1" w:rsidP="003517FC">
            <w:r>
              <w:t>17</w:t>
            </w:r>
            <w:r w:rsidR="00E47654">
              <w:t>%</w:t>
            </w:r>
            <w:r>
              <w:t xml:space="preserve"> (9)</w:t>
            </w:r>
          </w:p>
        </w:tc>
        <w:tc>
          <w:tcPr>
            <w:tcW w:w="1159" w:type="dxa"/>
          </w:tcPr>
          <w:p w14:paraId="43C33614" w14:textId="3AE5A7BA" w:rsidR="00AA51D1" w:rsidRDefault="00AA51D1" w:rsidP="003517FC">
            <w:r>
              <w:t>3.8</w:t>
            </w:r>
            <w:r w:rsidR="00E47654">
              <w:t>%</w:t>
            </w:r>
            <w:r>
              <w:t xml:space="preserve"> (2)</w:t>
            </w:r>
          </w:p>
        </w:tc>
        <w:tc>
          <w:tcPr>
            <w:tcW w:w="1140" w:type="dxa"/>
          </w:tcPr>
          <w:p w14:paraId="32FE73E2" w14:textId="75DE9D25" w:rsidR="00AA51D1" w:rsidRDefault="00AA51D1" w:rsidP="003517FC">
            <w:r>
              <w:t>7.5</w:t>
            </w:r>
            <w:r w:rsidR="00E47654">
              <w:t>%</w:t>
            </w:r>
            <w:r>
              <w:t xml:space="preserve"> (4)</w:t>
            </w:r>
          </w:p>
        </w:tc>
        <w:tc>
          <w:tcPr>
            <w:tcW w:w="1502" w:type="dxa"/>
          </w:tcPr>
          <w:p w14:paraId="66B07E0A" w14:textId="6DB3A3E9" w:rsidR="00AA51D1" w:rsidRDefault="00AA51D1" w:rsidP="003517FC">
            <w:r>
              <w:t>15.1</w:t>
            </w:r>
            <w:r w:rsidR="00E47654">
              <w:t>%</w:t>
            </w:r>
            <w:r>
              <w:t xml:space="preserve"> (8)</w:t>
            </w:r>
          </w:p>
        </w:tc>
      </w:tr>
      <w:tr w:rsidR="00AA51D1" w14:paraId="4819AA04" w14:textId="77777777" w:rsidTr="003517FC">
        <w:tc>
          <w:tcPr>
            <w:tcW w:w="1483" w:type="dxa"/>
          </w:tcPr>
          <w:p w14:paraId="03A22E6A" w14:textId="7CD56FD8" w:rsidR="00AA51D1" w:rsidRPr="00A51398" w:rsidRDefault="00AA51D1" w:rsidP="003517FC">
            <w:r>
              <w:t xml:space="preserve">Southwick </w:t>
            </w:r>
            <w:r w:rsidR="00445303">
              <w:t>(1308-13</w:t>
            </w:r>
            <w:r w:rsidR="00B57968">
              <w:t>96</w:t>
            </w:r>
            <w:r w:rsidR="002C1195">
              <w:t>)</w:t>
            </w:r>
          </w:p>
        </w:tc>
        <w:tc>
          <w:tcPr>
            <w:tcW w:w="1322" w:type="dxa"/>
          </w:tcPr>
          <w:p w14:paraId="07A5E3CF" w14:textId="77777777" w:rsidR="001C3223" w:rsidRDefault="00072617" w:rsidP="003517FC">
            <w:r>
              <w:t>2.7% (10)</w:t>
            </w:r>
          </w:p>
          <w:p w14:paraId="7FDB3BDF" w14:textId="1DD958C5" w:rsidR="008A6D5E" w:rsidRDefault="008A6D5E" w:rsidP="003517FC">
            <w:r>
              <w:t>10.2%</w:t>
            </w:r>
          </w:p>
        </w:tc>
        <w:tc>
          <w:tcPr>
            <w:tcW w:w="1205" w:type="dxa"/>
          </w:tcPr>
          <w:p w14:paraId="4B1D48CE" w14:textId="77777777" w:rsidR="001C3223" w:rsidRDefault="00E01222" w:rsidP="003517FC">
            <w:r>
              <w:t>7.8% (29)</w:t>
            </w:r>
          </w:p>
          <w:p w14:paraId="1894D007" w14:textId="2A66BD61" w:rsidR="008A6D5E" w:rsidRDefault="008A6D5E" w:rsidP="003517FC">
            <w:r>
              <w:t>29.6%</w:t>
            </w:r>
          </w:p>
        </w:tc>
        <w:tc>
          <w:tcPr>
            <w:tcW w:w="1205" w:type="dxa"/>
          </w:tcPr>
          <w:p w14:paraId="29502AD0" w14:textId="77777777" w:rsidR="002C1195" w:rsidRDefault="009B3714" w:rsidP="003517FC">
            <w:r>
              <w:t>8.1% (30)</w:t>
            </w:r>
          </w:p>
          <w:p w14:paraId="1FFD5351" w14:textId="0B65A173" w:rsidR="008A6D5E" w:rsidRDefault="008A6D5E" w:rsidP="003517FC">
            <w:r>
              <w:t>30.6%</w:t>
            </w:r>
          </w:p>
        </w:tc>
        <w:tc>
          <w:tcPr>
            <w:tcW w:w="1159" w:type="dxa"/>
          </w:tcPr>
          <w:p w14:paraId="001E8B08" w14:textId="77777777" w:rsidR="002C1195" w:rsidRDefault="00E01222" w:rsidP="003517FC">
            <w:r>
              <w:t>4% (15)</w:t>
            </w:r>
          </w:p>
          <w:p w14:paraId="54721BCC" w14:textId="149465D4" w:rsidR="008A6D5E" w:rsidRDefault="00D8397A" w:rsidP="003517FC">
            <w:r>
              <w:t>15.3%</w:t>
            </w:r>
          </w:p>
        </w:tc>
        <w:tc>
          <w:tcPr>
            <w:tcW w:w="1140" w:type="dxa"/>
          </w:tcPr>
          <w:p w14:paraId="28FA381E" w14:textId="77777777" w:rsidR="00621954" w:rsidRDefault="00AB646C" w:rsidP="003517FC">
            <w:r>
              <w:t>3.8% (14)</w:t>
            </w:r>
          </w:p>
          <w:p w14:paraId="38A144FD" w14:textId="24221C2B" w:rsidR="00D8397A" w:rsidRDefault="00D8397A" w:rsidP="003517FC">
            <w:r>
              <w:t>14.3%</w:t>
            </w:r>
          </w:p>
        </w:tc>
        <w:tc>
          <w:tcPr>
            <w:tcW w:w="1502" w:type="dxa"/>
          </w:tcPr>
          <w:p w14:paraId="1DE07C9F" w14:textId="1B56F20B" w:rsidR="00AA51D1" w:rsidRDefault="00072617" w:rsidP="003517FC">
            <w:r>
              <w:t>73.7% (274)</w:t>
            </w:r>
          </w:p>
        </w:tc>
      </w:tr>
    </w:tbl>
    <w:p w14:paraId="6890B186" w14:textId="77777777" w:rsidR="003B09E2" w:rsidRDefault="00D965B3" w:rsidP="003B09E2">
      <w:pPr>
        <w:spacing w:before="240"/>
      </w:pPr>
      <w:r>
        <w:lastRenderedPageBreak/>
        <w:t xml:space="preserve">Another custom that influenced female landholding was jointure. </w:t>
      </w:r>
      <w:r w:rsidR="00650752">
        <w:t>The</w:t>
      </w:r>
      <w:r w:rsidR="0041628D">
        <w:t xml:space="preserve"> introduction of tenancies held through jointure, often with </w:t>
      </w:r>
      <w:r>
        <w:t>the couple or husband’s</w:t>
      </w:r>
      <w:r w:rsidR="0041628D">
        <w:t xml:space="preserve"> heir as a third tenant, </w:t>
      </w:r>
      <w:r w:rsidR="00E74024">
        <w:t xml:space="preserve">increased </w:t>
      </w:r>
      <w:r>
        <w:t xml:space="preserve">substantially </w:t>
      </w:r>
      <w:r w:rsidR="00E74024">
        <w:t>in Southwick</w:t>
      </w:r>
      <w:r w:rsidR="009511C6">
        <w:t xml:space="preserve"> after the Black Death. Such admissions </w:t>
      </w:r>
      <w:r w:rsidR="008F6B42">
        <w:t>first appeared in the 1330s</w:t>
      </w:r>
      <w:r w:rsidR="00E33AA5">
        <w:t xml:space="preserve"> but</w:t>
      </w:r>
      <w:r w:rsidR="009511C6">
        <w:t xml:space="preserve"> become </w:t>
      </w:r>
      <w:r w:rsidR="00E33AA5">
        <w:t>commonplace</w:t>
      </w:r>
      <w:r w:rsidR="009511C6">
        <w:t xml:space="preserve"> in the 1350s and 1360s.</w:t>
      </w:r>
      <w:r w:rsidR="006543E5">
        <w:t xml:space="preserve"> Smith (</w:t>
      </w:r>
      <w:r w:rsidR="00667504">
        <w:t>198</w:t>
      </w:r>
      <w:r w:rsidR="00701DC4">
        <w:t>6</w:t>
      </w:r>
      <w:r w:rsidR="00667504">
        <w:t xml:space="preserve">: </w:t>
      </w:r>
      <w:r w:rsidR="006543E5">
        <w:t>188) argued that</w:t>
      </w:r>
      <w:r w:rsidR="00E01067">
        <w:t xml:space="preserve"> the introduction of</w:t>
      </w:r>
      <w:r w:rsidR="006543E5">
        <w:t xml:space="preserve"> jointure </w:t>
      </w:r>
      <w:r w:rsidR="00E01067">
        <w:t xml:space="preserve">into customary law </w:t>
      </w:r>
      <w:r w:rsidR="006543E5">
        <w:t>supported women</w:t>
      </w:r>
      <w:r w:rsidR="0089778F">
        <w:t>, particularly wives, in holding l</w:t>
      </w:r>
      <w:r w:rsidR="00BD38E7">
        <w:t>and</w:t>
      </w:r>
      <w:r w:rsidR="00E01067">
        <w:t>. Southwick</w:t>
      </w:r>
      <w:r w:rsidR="008D24FF">
        <w:t xml:space="preserve"> may be considered to support this argument</w:t>
      </w:r>
      <w:r w:rsidR="00E01067">
        <w:t xml:space="preserve">, where the introduction of jointure dramatically increased the number of women named as </w:t>
      </w:r>
      <w:r w:rsidR="002266FD">
        <w:t>householders</w:t>
      </w:r>
      <w:r w:rsidR="006E6C86">
        <w:t xml:space="preserve">, shown in the </w:t>
      </w:r>
      <w:r w:rsidR="00977C5C">
        <w:t>57.9</w:t>
      </w:r>
      <w:r w:rsidR="00E47654">
        <w:t xml:space="preserve"> percent</w:t>
      </w:r>
      <w:r w:rsidR="006E6C86">
        <w:t xml:space="preserve"> of </w:t>
      </w:r>
      <w:r w:rsidR="007A0E5A">
        <w:t xml:space="preserve">land </w:t>
      </w:r>
      <w:r w:rsidR="006E6C86">
        <w:t xml:space="preserve">transfers where women were named </w:t>
      </w:r>
      <w:r w:rsidR="007A0E5A">
        <w:t>as a recipient as opposed to only 2</w:t>
      </w:r>
      <w:r w:rsidR="00480D14">
        <w:t>0.</w:t>
      </w:r>
      <w:r w:rsidR="00977C5C">
        <w:t>8</w:t>
      </w:r>
      <w:r w:rsidR="00E47654">
        <w:t xml:space="preserve"> percent</w:t>
      </w:r>
      <w:r w:rsidR="007A0E5A">
        <w:t xml:space="preserve"> where they were sole </w:t>
      </w:r>
      <w:r w:rsidR="002266FD">
        <w:t>householders</w:t>
      </w:r>
      <w:r w:rsidR="007A0E5A">
        <w:t>.</w:t>
      </w:r>
      <w:r w:rsidR="008D24FF">
        <w:t xml:space="preserve"> However, this ignores that jointure may have deflated the number of female tenants in the rentals, although it is less clear whether the wife or heir would be considered the primary tenant after the husband’s death.</w:t>
      </w:r>
    </w:p>
    <w:p w14:paraId="50E00C30" w14:textId="0061C68C" w:rsidR="006543E5" w:rsidRDefault="003B09E2" w:rsidP="003B09E2">
      <w:pPr>
        <w:spacing w:before="240"/>
      </w:pPr>
      <w:r>
        <w:t>However,</w:t>
      </w:r>
      <w:r w:rsidR="00813A99">
        <w:t xml:space="preserve"> </w:t>
      </w:r>
      <w:r w:rsidR="00485E93">
        <w:t>Houghton</w:t>
      </w:r>
      <w:r w:rsidR="00813A99">
        <w:t xml:space="preserve"> </w:t>
      </w:r>
      <w:r w:rsidR="00485E93">
        <w:t xml:space="preserve">and Michelmersh </w:t>
      </w:r>
      <w:r w:rsidR="00813A99">
        <w:t>had</w:t>
      </w:r>
      <w:r w:rsidR="00485E93">
        <w:t xml:space="preserve"> high rates of female tenants appearing as both transferers and recipients of land</w:t>
      </w:r>
      <w:r w:rsidR="00813A99">
        <w:t>, and Chilbolton had significantly higher rates of women as transferers of land.</w:t>
      </w:r>
      <w:r w:rsidR="00426ACE">
        <w:t xml:space="preserve"> The drop </w:t>
      </w:r>
      <w:r w:rsidR="00016277">
        <w:t xml:space="preserve">in </w:t>
      </w:r>
      <w:r w:rsidR="00426ACE">
        <w:t>women as recipients</w:t>
      </w:r>
      <w:r w:rsidR="00016277">
        <w:t xml:space="preserve"> between Southwick and St Swithun’s manors</w:t>
      </w:r>
      <w:r w:rsidR="00426ACE">
        <w:t xml:space="preserve"> is</w:t>
      </w:r>
      <w:r w:rsidR="0087478F">
        <w:t xml:space="preserve"> </w:t>
      </w:r>
      <w:r w:rsidR="00426ACE">
        <w:t xml:space="preserve">more likely due to scribal practices than a real discrepancy in landholding rates between men and women. </w:t>
      </w:r>
      <w:r w:rsidR="00DC6F09">
        <w:t xml:space="preserve">For this reason, jointure did not affect women’s ability to hold land in Houghton and Michelmersh, while it only increased the </w:t>
      </w:r>
      <w:r w:rsidR="00DC6F09" w:rsidRPr="003346CC">
        <w:t>visibility</w:t>
      </w:r>
      <w:r w:rsidR="00DC6F09">
        <w:t xml:space="preserve"> of women’s landholding in Chilbolton</w:t>
      </w:r>
      <w:r w:rsidR="003346CC">
        <w:t xml:space="preserve"> and vice versa in Southwick</w:t>
      </w:r>
      <w:r w:rsidR="00DC6F09">
        <w:t>.</w:t>
      </w:r>
    </w:p>
    <w:p w14:paraId="6D983906" w14:textId="5E2675E8" w:rsidR="00650752" w:rsidRPr="00E74024" w:rsidRDefault="00B8467C" w:rsidP="00DF1838">
      <w:r>
        <w:t xml:space="preserve">It is unclear whether jointure granted a woman more rights over her property during her husband’s lifetime </w:t>
      </w:r>
      <w:r w:rsidR="00EA2E5D">
        <w:t xml:space="preserve">than a sole lease under his name did, and there is little evidence to suggest this was the case in Southwick. </w:t>
      </w:r>
      <w:r w:rsidR="007E6BBE">
        <w:t>Instead,</w:t>
      </w:r>
      <w:r w:rsidR="009511C6">
        <w:t xml:space="preserve"> </w:t>
      </w:r>
      <w:r w:rsidR="007E6BBE">
        <w:t>j</w:t>
      </w:r>
      <w:r w:rsidR="006543E5">
        <w:t>ointure</w:t>
      </w:r>
      <w:r w:rsidR="00DF61C3">
        <w:t xml:space="preserve"> </w:t>
      </w:r>
      <w:r w:rsidR="006543E5">
        <w:t>was</w:t>
      </w:r>
      <w:r w:rsidR="00DF61C3">
        <w:t xml:space="preserve"> </w:t>
      </w:r>
      <w:r w:rsidR="007E6BBE">
        <w:t xml:space="preserve">likely adopted as it was </w:t>
      </w:r>
      <w:r w:rsidR="00DF61C3">
        <w:t xml:space="preserve">beneficial to </w:t>
      </w:r>
      <w:r w:rsidR="00DF2772">
        <w:t>peasants</w:t>
      </w:r>
      <w:r w:rsidR="00DF61C3">
        <w:t xml:space="preserve"> </w:t>
      </w:r>
      <w:r w:rsidR="007E6BBE">
        <w:t>by</w:t>
      </w:r>
      <w:r w:rsidR="00DF61C3">
        <w:t xml:space="preserve"> </w:t>
      </w:r>
      <w:r w:rsidR="007E6BBE">
        <w:t>allowing</w:t>
      </w:r>
      <w:r w:rsidR="00DF61C3">
        <w:t xml:space="preserve"> the transmission of land to widows and heirs without the payment of heriot</w:t>
      </w:r>
      <w:r w:rsidR="008B0ECA">
        <w:t xml:space="preserve">, which was often the case in tenancies headed by a single </w:t>
      </w:r>
      <w:r w:rsidR="00B5741D">
        <w:t>householder</w:t>
      </w:r>
      <w:r w:rsidR="008B0ECA">
        <w:t xml:space="preserve">. </w:t>
      </w:r>
      <w:r w:rsidR="007E6BBE">
        <w:t xml:space="preserve">Heriot </w:t>
      </w:r>
      <w:r w:rsidR="00066EF3">
        <w:t>likely added to the financial strain peasant households faced after the Black Death, in addition to the widespread loss of labour and kin</w:t>
      </w:r>
      <w:r w:rsidR="00C37CD2">
        <w:t>, which may have incentivised the adoption of jointure</w:t>
      </w:r>
      <w:r w:rsidR="00066EF3">
        <w:t xml:space="preserve">. </w:t>
      </w:r>
      <w:r w:rsidR="00E74024">
        <w:t xml:space="preserve">This trend is also seen in </w:t>
      </w:r>
      <w:r w:rsidR="00E74024" w:rsidRPr="00C11279">
        <w:t>Chilbolton, Houghton, and Michelmersh</w:t>
      </w:r>
      <w:r w:rsidR="00E74024">
        <w:t xml:space="preserve"> in the 1310s and 1320s</w:t>
      </w:r>
      <w:r w:rsidR="00C37CD2">
        <w:t xml:space="preserve"> in smaller number</w:t>
      </w:r>
      <w:r w:rsidR="00E74024">
        <w:t>, suggesting that</w:t>
      </w:r>
      <w:r w:rsidR="008B4054">
        <w:t xml:space="preserve"> </w:t>
      </w:r>
      <w:r w:rsidR="00C37CD2">
        <w:t>the adoption of jointure was sped up by the Black Death rather than entirely caused by it</w:t>
      </w:r>
      <w:r w:rsidR="008B4054">
        <w:t xml:space="preserve">. Further investigation is required to see whether </w:t>
      </w:r>
      <w:r w:rsidR="007B54C4">
        <w:t xml:space="preserve">these tenancies were first popularised in west Hampshire or </w:t>
      </w:r>
      <w:r w:rsidR="00B3553B">
        <w:t>if it had originally arrived elsewhere in the county.</w:t>
      </w:r>
    </w:p>
    <w:p w14:paraId="0309EB8E" w14:textId="1FBCBEB1" w:rsidR="00AE3552" w:rsidRPr="00AE3552" w:rsidRDefault="00AE3552" w:rsidP="00DF1838">
      <w:pPr>
        <w:rPr>
          <w:b/>
          <w:bCs/>
          <w:u w:val="single"/>
        </w:rPr>
      </w:pPr>
      <w:r>
        <w:rPr>
          <w:b/>
          <w:bCs/>
          <w:u w:val="single"/>
        </w:rPr>
        <w:t>Conclusion</w:t>
      </w:r>
    </w:p>
    <w:p w14:paraId="53747089" w14:textId="6DFCF94B" w:rsidR="00AE3552" w:rsidRDefault="00257E40" w:rsidP="00503D41">
      <w:r>
        <w:t xml:space="preserve">In conclusion, </w:t>
      </w:r>
      <w:r w:rsidR="00B4778A">
        <w:t xml:space="preserve">the focus on custumals and rentals to determine peasant women’s relationship with landholding has been </w:t>
      </w:r>
      <w:r w:rsidR="00B8467C">
        <w:t xml:space="preserve">somewhat deceptive. In some cases, jointure made them invisible in rentals, </w:t>
      </w:r>
      <w:r w:rsidR="00EA2E5D">
        <w:t xml:space="preserve">and it is unclear whether jointure </w:t>
      </w:r>
      <w:r w:rsidR="00375A6B">
        <w:t>materially benefitted them</w:t>
      </w:r>
      <w:r w:rsidR="00EA2E5D">
        <w:t xml:space="preserve"> during their husband’s lifetime.</w:t>
      </w:r>
      <w:r w:rsidR="006274D6">
        <w:t xml:space="preserve"> The benefits provided by jointure were primarily financial – they allowed </w:t>
      </w:r>
      <w:r w:rsidR="0021107F">
        <w:t>tenure to pass between a tenant, their spouse, and their heir, all without the payment of heriot</w:t>
      </w:r>
      <w:r w:rsidR="0032688C">
        <w:t xml:space="preserve">. </w:t>
      </w:r>
      <w:r w:rsidR="00E31910">
        <w:t xml:space="preserve">In manors where widows could transmit land through remarriage, </w:t>
      </w:r>
      <w:r w:rsidR="004263A5">
        <w:t xml:space="preserve">this did not always impact their daughters’ </w:t>
      </w:r>
      <w:r w:rsidR="00503D41">
        <w:t xml:space="preserve">ability to inherit land </w:t>
      </w:r>
      <w:r w:rsidR="006A3992">
        <w:t>as previously believed. Instead, more research is required to</w:t>
      </w:r>
      <w:r w:rsidR="00EC22D3">
        <w:t xml:space="preserve"> understand </w:t>
      </w:r>
      <w:r w:rsidR="00923EA8">
        <w:t>how customary laws in other areas of England may have affected female landholding.</w:t>
      </w:r>
    </w:p>
    <w:p w14:paraId="41F014D0" w14:textId="5066410C" w:rsidR="005A2A41" w:rsidRPr="005A2A41" w:rsidRDefault="005A2A41" w:rsidP="00DF1838">
      <w:r>
        <w:rPr>
          <w:b/>
          <w:bCs/>
          <w:u w:val="single"/>
        </w:rPr>
        <w:t>Primary sources</w:t>
      </w:r>
    </w:p>
    <w:p w14:paraId="74A5945F" w14:textId="2D2B5DAD" w:rsidR="005A2A41" w:rsidRDefault="005A2A41" w:rsidP="00DF1838">
      <w:r>
        <w:t>Hampshire Archives</w:t>
      </w:r>
      <w:r w:rsidR="00FE3217">
        <w:t>:</w:t>
      </w:r>
    </w:p>
    <w:p w14:paraId="1EBA2321" w14:textId="4392E59C" w:rsidR="00842A41" w:rsidRDefault="00842A41" w:rsidP="00DF1838">
      <w:r>
        <w:tab/>
        <w:t>4M53/C1/1-39 (1308-1330)</w:t>
      </w:r>
      <w:r w:rsidR="0073409B">
        <w:t xml:space="preserve">, </w:t>
      </w:r>
      <w:r w:rsidR="0073409B">
        <w:rPr>
          <w:i/>
          <w:iCs/>
        </w:rPr>
        <w:t>Southwick court rolls</w:t>
      </w:r>
      <w:r w:rsidR="00B946C0">
        <w:rPr>
          <w:i/>
          <w:iCs/>
        </w:rPr>
        <w:t>.</w:t>
      </w:r>
    </w:p>
    <w:p w14:paraId="0EB6341F" w14:textId="7C9036CA" w:rsidR="00B946C0" w:rsidRPr="00B946C0" w:rsidRDefault="00B946C0" w:rsidP="00DF1838">
      <w:r>
        <w:tab/>
        <w:t xml:space="preserve">5M50/81, 83 (1352, 1396), </w:t>
      </w:r>
      <w:r>
        <w:rPr>
          <w:i/>
          <w:iCs/>
        </w:rPr>
        <w:t>Southwick rentals</w:t>
      </w:r>
      <w:r>
        <w:t>.</w:t>
      </w:r>
    </w:p>
    <w:p w14:paraId="56535B7F" w14:textId="757F5FD2" w:rsidR="007A268F" w:rsidRDefault="007A268F" w:rsidP="00DF1838">
      <w:pPr>
        <w:rPr>
          <w:i/>
          <w:iCs/>
        </w:rPr>
      </w:pPr>
      <w:r>
        <w:lastRenderedPageBreak/>
        <w:tab/>
        <w:t>5M50/8</w:t>
      </w:r>
      <w:r w:rsidR="00B946C0">
        <w:t>8</w:t>
      </w:r>
      <w:r>
        <w:t>-</w:t>
      </w:r>
      <w:r w:rsidR="0073409B">
        <w:t>221</w:t>
      </w:r>
      <w:r>
        <w:t xml:space="preserve"> (</w:t>
      </w:r>
      <w:r w:rsidR="0073409B">
        <w:t xml:space="preserve">1328-1400), </w:t>
      </w:r>
      <w:r w:rsidR="0073409B">
        <w:rPr>
          <w:i/>
          <w:iCs/>
        </w:rPr>
        <w:t>Southwick court rolls</w:t>
      </w:r>
      <w:r w:rsidR="00B946C0">
        <w:rPr>
          <w:i/>
          <w:iCs/>
        </w:rPr>
        <w:t>.</w:t>
      </w:r>
    </w:p>
    <w:p w14:paraId="7AFCAF04" w14:textId="0F31223C" w:rsidR="0073409B" w:rsidRDefault="0073409B" w:rsidP="00DF1838">
      <w:r>
        <w:t xml:space="preserve">Drew, J. S., </w:t>
      </w:r>
      <w:r w:rsidR="00CF1E5B">
        <w:rPr>
          <w:i/>
          <w:iCs/>
        </w:rPr>
        <w:t>Chilbolton: an English translation of a rental and custumal, compotus rolls and manor court rolls (1</w:t>
      </w:r>
      <w:r w:rsidR="00FE7CF8">
        <w:rPr>
          <w:i/>
          <w:iCs/>
        </w:rPr>
        <w:t>24</w:t>
      </w:r>
      <w:r w:rsidR="00CF1E5B">
        <w:rPr>
          <w:i/>
          <w:iCs/>
        </w:rPr>
        <w:t>8-1433)</w:t>
      </w:r>
      <w:r w:rsidR="00CF1E5B">
        <w:t>, (Winchester, 1945).</w:t>
      </w:r>
    </w:p>
    <w:p w14:paraId="7A5A79DB" w14:textId="5D195A7A" w:rsidR="00CF1E5B" w:rsidRDefault="00CF1E5B" w:rsidP="00DF1838">
      <w:r>
        <w:t xml:space="preserve">Drew, J. S., </w:t>
      </w:r>
      <w:r w:rsidR="00FE7CF8">
        <w:rPr>
          <w:i/>
          <w:iCs/>
        </w:rPr>
        <w:t>Houghton (Houghton Drayton): an English translation of a rental and custumal, compotus rolls and manor court rolls (1248-1331)</w:t>
      </w:r>
      <w:r w:rsidR="00FE7CF8">
        <w:t>, (Winchester, 1943).</w:t>
      </w:r>
    </w:p>
    <w:p w14:paraId="0E5451B4" w14:textId="3D152989" w:rsidR="00FE7CF8" w:rsidRPr="00254B70" w:rsidRDefault="00FE7CF8" w:rsidP="00DF1838">
      <w:r>
        <w:t xml:space="preserve">Drew, J. S., </w:t>
      </w:r>
      <w:r w:rsidR="00254B70">
        <w:rPr>
          <w:i/>
          <w:iCs/>
        </w:rPr>
        <w:t>Manor of Michelmersh near Romsey, Hants, formerly held by St Swithun’s Priory, Winchester: an English translation of a rental and custumal, compotus rolls and manor court rolls (1328-1331)</w:t>
      </w:r>
      <w:r w:rsidR="00254B70">
        <w:t>, (Colden Common, 1943).</w:t>
      </w:r>
    </w:p>
    <w:p w14:paraId="522741E6" w14:textId="61FA290E" w:rsidR="006D4C22" w:rsidRDefault="006D4C22" w:rsidP="00DF1838">
      <w:r>
        <w:rPr>
          <w:b/>
          <w:bCs/>
          <w:u w:val="single"/>
        </w:rPr>
        <w:t>Bibliography</w:t>
      </w:r>
    </w:p>
    <w:p w14:paraId="4BD5E2DB" w14:textId="77777777" w:rsidR="00FE3217" w:rsidRPr="00EB3616" w:rsidRDefault="00FE3217" w:rsidP="0035058A">
      <w:r>
        <w:t xml:space="preserve">Bardsley, Sandy, ‘Peasant women and inheritance of land in fourteenth-century England’, </w:t>
      </w:r>
      <w:r>
        <w:rPr>
          <w:i/>
          <w:iCs/>
        </w:rPr>
        <w:t>Continuity and Change</w:t>
      </w:r>
      <w:r>
        <w:t>, vol. 29.3 (2014), pp. 297-324.</w:t>
      </w:r>
    </w:p>
    <w:p w14:paraId="676CCF5C" w14:textId="77777777" w:rsidR="00FE3217" w:rsidRDefault="00FE3217" w:rsidP="00DF1838">
      <w:r>
        <w:t xml:space="preserve">Bennett, Judith M., </w:t>
      </w:r>
      <w:r>
        <w:rPr>
          <w:i/>
          <w:iCs/>
        </w:rPr>
        <w:t>Women in the medieval English countryside: gender and household in Brigstock before the plague</w:t>
      </w:r>
      <w:r>
        <w:t>, (Oxford University Press, 1987).</w:t>
      </w:r>
    </w:p>
    <w:p w14:paraId="545BFA86" w14:textId="77777777" w:rsidR="00FE3217" w:rsidRDefault="00FE3217" w:rsidP="0035058A">
      <w:r>
        <w:t xml:space="preserve">Campbell, Bruce M. S., ‘Population pressure, inheritance and the land market in a fourteenth-century peasant community’, in </w:t>
      </w:r>
      <w:r>
        <w:rPr>
          <w:i/>
          <w:iCs/>
        </w:rPr>
        <w:t>Land, Kinship, and Life Cycle</w:t>
      </w:r>
      <w:r>
        <w:t>, ed. Richard M. Smith, (Cambridge University Press, 2001), pp. 87-134.</w:t>
      </w:r>
    </w:p>
    <w:p w14:paraId="67A6DB6A" w14:textId="77777777" w:rsidR="00FE3217" w:rsidRPr="00D25FF9" w:rsidRDefault="00FE3217" w:rsidP="00DF1838">
      <w:r>
        <w:t xml:space="preserve">DeWindt, Edwin Brezette, </w:t>
      </w:r>
      <w:r>
        <w:rPr>
          <w:i/>
          <w:iCs/>
        </w:rPr>
        <w:t>Land and People in Holywell-cum-Needingworth: Structures of Tenure and Patterns of Social Organisation in an East Midlands Village, 1252-1457</w:t>
      </w:r>
      <w:r>
        <w:t>, (Pontifical Institute of Mediaeval Studies, 1972).</w:t>
      </w:r>
    </w:p>
    <w:p w14:paraId="073C7190" w14:textId="77777777" w:rsidR="00FE3217" w:rsidRDefault="00FE3217" w:rsidP="00DF1838">
      <w:r>
        <w:t xml:space="preserve">Faith, Rosamond Jane, ‘Peasant families and inheritance customs in medieval England’, </w:t>
      </w:r>
      <w:r>
        <w:rPr>
          <w:i/>
          <w:iCs/>
        </w:rPr>
        <w:t>The Agricultural History Review</w:t>
      </w:r>
      <w:r>
        <w:t>, vol. 14.2 (1996), pp. 77-95.</w:t>
      </w:r>
    </w:p>
    <w:p w14:paraId="34DD650C" w14:textId="77777777" w:rsidR="00FE3217" w:rsidRDefault="00FE3217" w:rsidP="00DF1838">
      <w:r>
        <w:t xml:space="preserve">Faith, Rosamond, ‘Berkshire: Fourteenth and Fifteenth Centuries’, in </w:t>
      </w:r>
      <w:r>
        <w:rPr>
          <w:i/>
          <w:iCs/>
        </w:rPr>
        <w:t>The Peasant Land Market in Medieval England</w:t>
      </w:r>
      <w:r>
        <w:t>, ed. P.D.A. Harvey, (Clarendon Press, 1984), pp. 106-177.</w:t>
      </w:r>
    </w:p>
    <w:p w14:paraId="2C7A5EFE" w14:textId="77777777" w:rsidR="00FE3217" w:rsidRPr="00361128" w:rsidRDefault="00FE3217" w:rsidP="0035058A">
      <w:r>
        <w:t xml:space="preserve">Hubbs Wright, Sharon, ‘Medieval English peasant women and their historians: a historiography with a future?’, </w:t>
      </w:r>
      <w:r>
        <w:rPr>
          <w:i/>
          <w:iCs/>
        </w:rPr>
        <w:t>History Compass</w:t>
      </w:r>
      <w:r>
        <w:t>, vol. 16.8 (Aug. 2018), pp. 1-11.</w:t>
      </w:r>
    </w:p>
    <w:p w14:paraId="6D9B03BF" w14:textId="77777777" w:rsidR="00FE3217" w:rsidRDefault="00FE3217" w:rsidP="00DF1838">
      <w:r>
        <w:t xml:space="preserve">Mate, Mavis E., </w:t>
      </w:r>
      <w:r>
        <w:rPr>
          <w:i/>
          <w:iCs/>
        </w:rPr>
        <w:t xml:space="preserve">Daughters, Wives, and Widows after the Black Death: Women in Sussex, 1350-1535, </w:t>
      </w:r>
      <w:r>
        <w:t>(Boydell Press, 1998).</w:t>
      </w:r>
    </w:p>
    <w:p w14:paraId="6EEBAF8B" w14:textId="77777777" w:rsidR="00FE3217" w:rsidRDefault="00FE3217" w:rsidP="0035058A">
      <w:r>
        <w:t xml:space="preserve">McIntosh, Marjorie Keniston, </w:t>
      </w:r>
      <w:r>
        <w:rPr>
          <w:i/>
          <w:iCs/>
        </w:rPr>
        <w:t>Autonomy and Community: The Royal Manor of Havering, 1200-1500</w:t>
      </w:r>
      <w:r>
        <w:t>, (Cambridge University Press, 1986).</w:t>
      </w:r>
    </w:p>
    <w:p w14:paraId="62BA5CC2" w14:textId="77777777" w:rsidR="00FE3217" w:rsidRPr="000A375A" w:rsidRDefault="00FE3217" w:rsidP="0035058A">
      <w:r>
        <w:t xml:space="preserve">Mullan, John, and Richard Britnell, </w:t>
      </w:r>
      <w:r>
        <w:rPr>
          <w:i/>
          <w:iCs/>
        </w:rPr>
        <w:t>Land and family: trends and local variations in the peasant land market on the Winchester bishopric estates, 1263-1415</w:t>
      </w:r>
      <w:r>
        <w:t>, (University of Hertfordshire Press, 2010).</w:t>
      </w:r>
    </w:p>
    <w:p w14:paraId="228562A8" w14:textId="77777777" w:rsidR="00FE3217" w:rsidRDefault="00FE3217" w:rsidP="00DF1838">
      <w:r>
        <w:t xml:space="preserve">Postan, M. M., ‘Medieval Agrarian Society in its Prime: England’, in </w:t>
      </w:r>
      <w:r>
        <w:rPr>
          <w:i/>
          <w:iCs/>
        </w:rPr>
        <w:t>The Cambridge Economic History of Europe</w:t>
      </w:r>
      <w:r>
        <w:t>, vol. 1, ed. M. M. Postan, (Cambridge University Press, 1966), pp. 564-565.</w:t>
      </w:r>
    </w:p>
    <w:p w14:paraId="72269B3F" w14:textId="77777777" w:rsidR="00FE3217" w:rsidRDefault="00FE3217" w:rsidP="0035058A">
      <w:r>
        <w:t xml:space="preserve">Smith, R. M., ‘Women’s property rights under customary law: some developments in the thirteenth and fourteenth centuries’, </w:t>
      </w:r>
      <w:r>
        <w:rPr>
          <w:i/>
          <w:iCs/>
        </w:rPr>
        <w:t>Transactions of the Royal Historical Society</w:t>
      </w:r>
      <w:r>
        <w:t>, vol. 36 (1986), pp. 165-194.</w:t>
      </w:r>
    </w:p>
    <w:p w14:paraId="4E1EC662" w14:textId="77777777" w:rsidR="00FE3217" w:rsidRPr="00692763" w:rsidRDefault="00FE3217" w:rsidP="0035058A">
      <w:r>
        <w:lastRenderedPageBreak/>
        <w:t xml:space="preserve">Smith, Richard M., ‘Coping with uncertainty: women’s tenure of customary land in England c. 1370-1430’, in </w:t>
      </w:r>
      <w:r>
        <w:rPr>
          <w:i/>
          <w:iCs/>
        </w:rPr>
        <w:t>Enterprise and Individuals in Fifteenth-Century England</w:t>
      </w:r>
      <w:r>
        <w:t>, ed. Jennifer Kermode, (Alan Sutton, 1991), pp. 43-67.</w:t>
      </w:r>
    </w:p>
    <w:p w14:paraId="0DAD793E" w14:textId="77777777" w:rsidR="00FE3217" w:rsidRPr="00655EAD" w:rsidRDefault="00FE3217" w:rsidP="00DF1838">
      <w:r>
        <w:rPr>
          <w:i/>
          <w:iCs/>
        </w:rPr>
        <w:t>The Hampshire Tax List of 1327</w:t>
      </w:r>
      <w:r>
        <w:t>, eds. Patrick Mitchell-Fox and Mark Page, (Hampshire County Council, 2014).</w:t>
      </w:r>
    </w:p>
    <w:p w14:paraId="5310F89E" w14:textId="77777777" w:rsidR="00FE3217" w:rsidRDefault="00FE3217" w:rsidP="0035058A">
      <w:r>
        <w:t xml:space="preserve">Titow, J. Z., ‘Some differences between manors and their effects on the condition of the peasant in the thirteenth century’, </w:t>
      </w:r>
      <w:r>
        <w:rPr>
          <w:i/>
          <w:iCs/>
        </w:rPr>
        <w:t>The Agricultural History Review</w:t>
      </w:r>
      <w:r>
        <w:t>, vol. 10.1 (1962), pp. 1-13.</w:t>
      </w:r>
    </w:p>
    <w:p w14:paraId="4D1EAEF9" w14:textId="77777777" w:rsidR="00FE3217" w:rsidRPr="007C3933" w:rsidRDefault="00FE3217" w:rsidP="0035058A">
      <w:r>
        <w:t xml:space="preserve">Titow, J. Z., </w:t>
      </w:r>
      <w:r>
        <w:rPr>
          <w:i/>
          <w:iCs/>
        </w:rPr>
        <w:t>English Rural Society, 1200-1350</w:t>
      </w:r>
      <w:r>
        <w:t>, (George Allen and Unwin Ltd., 1969).</w:t>
      </w:r>
    </w:p>
    <w:sectPr w:rsidR="00FE3217" w:rsidRPr="007C39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E6C61" w14:textId="77777777" w:rsidR="0003754B" w:rsidRDefault="0003754B" w:rsidP="00C32422">
      <w:pPr>
        <w:spacing w:after="0" w:line="240" w:lineRule="auto"/>
      </w:pPr>
      <w:r>
        <w:separator/>
      </w:r>
    </w:p>
  </w:endnote>
  <w:endnote w:type="continuationSeparator" w:id="0">
    <w:p w14:paraId="155ED942" w14:textId="77777777" w:rsidR="0003754B" w:rsidRDefault="0003754B" w:rsidP="00C32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984736"/>
      <w:docPartObj>
        <w:docPartGallery w:val="Page Numbers (Bottom of Page)"/>
        <w:docPartUnique/>
      </w:docPartObj>
    </w:sdtPr>
    <w:sdtEndPr>
      <w:rPr>
        <w:noProof/>
      </w:rPr>
    </w:sdtEndPr>
    <w:sdtContent>
      <w:p w14:paraId="1A0ACE4A" w14:textId="5EDF5F90" w:rsidR="00C32422" w:rsidRDefault="00C324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E7607E" w14:textId="77777777" w:rsidR="00C32422" w:rsidRDefault="00C3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F626" w14:textId="77777777" w:rsidR="0003754B" w:rsidRDefault="0003754B" w:rsidP="00C32422">
      <w:pPr>
        <w:spacing w:after="0" w:line="240" w:lineRule="auto"/>
      </w:pPr>
      <w:r>
        <w:separator/>
      </w:r>
    </w:p>
  </w:footnote>
  <w:footnote w:type="continuationSeparator" w:id="0">
    <w:p w14:paraId="3CF60701" w14:textId="77777777" w:rsidR="0003754B" w:rsidRDefault="0003754B" w:rsidP="00C32422">
      <w:pPr>
        <w:spacing w:after="0" w:line="240" w:lineRule="auto"/>
      </w:pPr>
      <w:r>
        <w:continuationSeparator/>
      </w:r>
    </w:p>
  </w:footnote>
  <w:footnote w:id="1">
    <w:p w14:paraId="1B4BCF0D" w14:textId="5927C543" w:rsidR="00F13E1E" w:rsidRDefault="00F13E1E" w:rsidP="00E47ACA">
      <w:pPr>
        <w:pStyle w:val="FootnoteText"/>
      </w:pPr>
      <w:r>
        <w:rPr>
          <w:rStyle w:val="FootnoteReference"/>
        </w:rPr>
        <w:footnoteRef/>
      </w:r>
      <w:r>
        <w:t xml:space="preserve"> Campbell’s data for Coltishall, Norfolk, shows that </w:t>
      </w:r>
      <w:r w:rsidR="009B5B33">
        <w:t>22 of 141</w:t>
      </w:r>
      <w:r>
        <w:t xml:space="preserve"> tenants in 1314 and</w:t>
      </w:r>
      <w:r w:rsidR="009B5B33">
        <w:t xml:space="preserve"> 30</w:t>
      </w:r>
      <w:r>
        <w:t xml:space="preserve"> of 198 tenant</w:t>
      </w:r>
      <w:r w:rsidR="00BC6DF5">
        <w:t>s</w:t>
      </w:r>
      <w:r>
        <w:t xml:space="preserve"> in 1349 were women.</w:t>
      </w:r>
      <w:r w:rsidR="00CF3E61">
        <w:t xml:space="preserve"> </w:t>
      </w:r>
      <w:r w:rsidR="003A4C47">
        <w:t>By contrast,</w:t>
      </w:r>
      <w:r w:rsidR="00BC6DF5">
        <w:t xml:space="preserve"> </w:t>
      </w:r>
      <w:r w:rsidR="003A4C47">
        <w:t>5 of 79 of tenants were women in 1359</w:t>
      </w:r>
      <w:r w:rsidR="00E47ACA">
        <w:t>, although it rose to 6 of 27 in 1406. McIntosh</w:t>
      </w:r>
      <w:r w:rsidR="009B5B33">
        <w:t xml:space="preserve">’s study of Havering, Essex, showed 11.5 percent in 1251, </w:t>
      </w:r>
      <w:r w:rsidR="00292417">
        <w:t>17 percent in 1352/3, declining to 12 percent in 1388-9 and 6 percent in 1405-6.</w:t>
      </w:r>
    </w:p>
  </w:footnote>
  <w:footnote w:id="2">
    <w:p w14:paraId="54C1FCB6" w14:textId="54E44B0B" w:rsidR="00354C50" w:rsidRDefault="00354C50">
      <w:pPr>
        <w:pStyle w:val="FootnoteText"/>
      </w:pPr>
      <w:r>
        <w:rPr>
          <w:rStyle w:val="FootnoteReference"/>
        </w:rPr>
        <w:footnoteRef/>
      </w:r>
      <w:r>
        <w:t xml:space="preserve"> </w:t>
      </w:r>
      <w:r w:rsidR="00C65BB8">
        <w:t>By contrast, Michelmersh’s residents paid 44s. 11d. across 30 residents and Chilbolton paid 24s. 3.5d. across 22 residents.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77A"/>
    <w:multiLevelType w:val="hybridMultilevel"/>
    <w:tmpl w:val="BD82A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1532E"/>
    <w:multiLevelType w:val="hybridMultilevel"/>
    <w:tmpl w:val="C24A4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57BB7"/>
    <w:multiLevelType w:val="hybridMultilevel"/>
    <w:tmpl w:val="DECE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ED73CB"/>
    <w:multiLevelType w:val="hybridMultilevel"/>
    <w:tmpl w:val="1F348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697315">
    <w:abstractNumId w:val="2"/>
  </w:num>
  <w:num w:numId="2" w16cid:durableId="1379742332">
    <w:abstractNumId w:val="3"/>
  </w:num>
  <w:num w:numId="3" w16cid:durableId="1365204311">
    <w:abstractNumId w:val="1"/>
  </w:num>
  <w:num w:numId="4" w16cid:durableId="195559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8"/>
    <w:rsid w:val="0000086A"/>
    <w:rsid w:val="000017C0"/>
    <w:rsid w:val="000022CE"/>
    <w:rsid w:val="000144D3"/>
    <w:rsid w:val="00016277"/>
    <w:rsid w:val="00026CA0"/>
    <w:rsid w:val="00026F70"/>
    <w:rsid w:val="00026F9E"/>
    <w:rsid w:val="00034033"/>
    <w:rsid w:val="000352C5"/>
    <w:rsid w:val="00035C70"/>
    <w:rsid w:val="0003754B"/>
    <w:rsid w:val="00045E6B"/>
    <w:rsid w:val="00051407"/>
    <w:rsid w:val="000519B2"/>
    <w:rsid w:val="00053A13"/>
    <w:rsid w:val="000600A6"/>
    <w:rsid w:val="00061AD1"/>
    <w:rsid w:val="000656FD"/>
    <w:rsid w:val="00066EF3"/>
    <w:rsid w:val="0006749D"/>
    <w:rsid w:val="000675F2"/>
    <w:rsid w:val="00071AC3"/>
    <w:rsid w:val="00071C17"/>
    <w:rsid w:val="00072617"/>
    <w:rsid w:val="00076E00"/>
    <w:rsid w:val="00080AD2"/>
    <w:rsid w:val="000837C0"/>
    <w:rsid w:val="00084DB1"/>
    <w:rsid w:val="00085BD7"/>
    <w:rsid w:val="0008724E"/>
    <w:rsid w:val="00092A9D"/>
    <w:rsid w:val="00093E8B"/>
    <w:rsid w:val="000A375A"/>
    <w:rsid w:val="000A4C04"/>
    <w:rsid w:val="000B1A63"/>
    <w:rsid w:val="000C3B37"/>
    <w:rsid w:val="000C5F78"/>
    <w:rsid w:val="000C6708"/>
    <w:rsid w:val="000C6EFA"/>
    <w:rsid w:val="000D1539"/>
    <w:rsid w:val="000D703C"/>
    <w:rsid w:val="000D7A00"/>
    <w:rsid w:val="000D7F38"/>
    <w:rsid w:val="000E236A"/>
    <w:rsid w:val="000E34A6"/>
    <w:rsid w:val="000E5962"/>
    <w:rsid w:val="000E78C1"/>
    <w:rsid w:val="000F3B0E"/>
    <w:rsid w:val="000F3BD3"/>
    <w:rsid w:val="000F5FF0"/>
    <w:rsid w:val="001029A3"/>
    <w:rsid w:val="001029E6"/>
    <w:rsid w:val="001114E5"/>
    <w:rsid w:val="00111909"/>
    <w:rsid w:val="0011373C"/>
    <w:rsid w:val="0011378D"/>
    <w:rsid w:val="00115DDB"/>
    <w:rsid w:val="0012231D"/>
    <w:rsid w:val="00123ABA"/>
    <w:rsid w:val="00127441"/>
    <w:rsid w:val="001322FC"/>
    <w:rsid w:val="00132EBD"/>
    <w:rsid w:val="0013364A"/>
    <w:rsid w:val="00134E62"/>
    <w:rsid w:val="00136BA4"/>
    <w:rsid w:val="00142376"/>
    <w:rsid w:val="00147E8A"/>
    <w:rsid w:val="00152529"/>
    <w:rsid w:val="00162926"/>
    <w:rsid w:val="0016758B"/>
    <w:rsid w:val="0017152B"/>
    <w:rsid w:val="001722A5"/>
    <w:rsid w:val="00174FA3"/>
    <w:rsid w:val="00175F0F"/>
    <w:rsid w:val="00176704"/>
    <w:rsid w:val="001800ED"/>
    <w:rsid w:val="00183E03"/>
    <w:rsid w:val="001856F9"/>
    <w:rsid w:val="00185CBD"/>
    <w:rsid w:val="00187327"/>
    <w:rsid w:val="00192A5E"/>
    <w:rsid w:val="00193A0B"/>
    <w:rsid w:val="001941E5"/>
    <w:rsid w:val="0019442A"/>
    <w:rsid w:val="001A1222"/>
    <w:rsid w:val="001A3036"/>
    <w:rsid w:val="001A50BE"/>
    <w:rsid w:val="001A689F"/>
    <w:rsid w:val="001A72AB"/>
    <w:rsid w:val="001B4703"/>
    <w:rsid w:val="001B568D"/>
    <w:rsid w:val="001C3223"/>
    <w:rsid w:val="001C4FD3"/>
    <w:rsid w:val="001D4572"/>
    <w:rsid w:val="001D4C8B"/>
    <w:rsid w:val="001E4CDE"/>
    <w:rsid w:val="001F0831"/>
    <w:rsid w:val="001F23AB"/>
    <w:rsid w:val="001F29EF"/>
    <w:rsid w:val="001F2D9E"/>
    <w:rsid w:val="001F2FE4"/>
    <w:rsid w:val="001F65A7"/>
    <w:rsid w:val="002009AB"/>
    <w:rsid w:val="0020321B"/>
    <w:rsid w:val="0020793C"/>
    <w:rsid w:val="0021107F"/>
    <w:rsid w:val="002161F3"/>
    <w:rsid w:val="00217D4D"/>
    <w:rsid w:val="00221DB9"/>
    <w:rsid w:val="0022208F"/>
    <w:rsid w:val="002266FD"/>
    <w:rsid w:val="0023016E"/>
    <w:rsid w:val="00233326"/>
    <w:rsid w:val="00233C56"/>
    <w:rsid w:val="00234065"/>
    <w:rsid w:val="0023440A"/>
    <w:rsid w:val="002348BF"/>
    <w:rsid w:val="00245D9D"/>
    <w:rsid w:val="00246C26"/>
    <w:rsid w:val="002514D5"/>
    <w:rsid w:val="0025301F"/>
    <w:rsid w:val="00254B70"/>
    <w:rsid w:val="00257E40"/>
    <w:rsid w:val="0026149E"/>
    <w:rsid w:val="00261696"/>
    <w:rsid w:val="00261CCD"/>
    <w:rsid w:val="00265463"/>
    <w:rsid w:val="0026771A"/>
    <w:rsid w:val="002677DC"/>
    <w:rsid w:val="00270AA3"/>
    <w:rsid w:val="00275141"/>
    <w:rsid w:val="00276F51"/>
    <w:rsid w:val="002801AB"/>
    <w:rsid w:val="00280459"/>
    <w:rsid w:val="002806D6"/>
    <w:rsid w:val="00282E7A"/>
    <w:rsid w:val="002839D6"/>
    <w:rsid w:val="00284884"/>
    <w:rsid w:val="00285511"/>
    <w:rsid w:val="00290625"/>
    <w:rsid w:val="00290EA0"/>
    <w:rsid w:val="00291F89"/>
    <w:rsid w:val="00292417"/>
    <w:rsid w:val="002A15FA"/>
    <w:rsid w:val="002A19D9"/>
    <w:rsid w:val="002A33C6"/>
    <w:rsid w:val="002A6637"/>
    <w:rsid w:val="002A6F02"/>
    <w:rsid w:val="002B09D6"/>
    <w:rsid w:val="002B2983"/>
    <w:rsid w:val="002B6901"/>
    <w:rsid w:val="002B70E4"/>
    <w:rsid w:val="002C1195"/>
    <w:rsid w:val="002D0C5E"/>
    <w:rsid w:val="002D16BB"/>
    <w:rsid w:val="002D34F2"/>
    <w:rsid w:val="002D4995"/>
    <w:rsid w:val="002D4A16"/>
    <w:rsid w:val="002D711A"/>
    <w:rsid w:val="002E25A5"/>
    <w:rsid w:val="002E50EF"/>
    <w:rsid w:val="002F0054"/>
    <w:rsid w:val="002F0422"/>
    <w:rsid w:val="002F697B"/>
    <w:rsid w:val="00301E3F"/>
    <w:rsid w:val="0030496B"/>
    <w:rsid w:val="00315AF4"/>
    <w:rsid w:val="00316063"/>
    <w:rsid w:val="0032076A"/>
    <w:rsid w:val="0032590A"/>
    <w:rsid w:val="0032688C"/>
    <w:rsid w:val="00327E7F"/>
    <w:rsid w:val="00331C76"/>
    <w:rsid w:val="00332BB1"/>
    <w:rsid w:val="003346AF"/>
    <w:rsid w:val="003346CC"/>
    <w:rsid w:val="00335015"/>
    <w:rsid w:val="003358D4"/>
    <w:rsid w:val="00335E29"/>
    <w:rsid w:val="00336170"/>
    <w:rsid w:val="00337B28"/>
    <w:rsid w:val="00340D24"/>
    <w:rsid w:val="00342BC7"/>
    <w:rsid w:val="0035058A"/>
    <w:rsid w:val="0035138B"/>
    <w:rsid w:val="0035170B"/>
    <w:rsid w:val="00353515"/>
    <w:rsid w:val="00354C3C"/>
    <w:rsid w:val="00354C50"/>
    <w:rsid w:val="00354D89"/>
    <w:rsid w:val="003553EF"/>
    <w:rsid w:val="003556CA"/>
    <w:rsid w:val="003609E0"/>
    <w:rsid w:val="00361128"/>
    <w:rsid w:val="00364B0E"/>
    <w:rsid w:val="0037006E"/>
    <w:rsid w:val="00372C71"/>
    <w:rsid w:val="00375A6B"/>
    <w:rsid w:val="0038142B"/>
    <w:rsid w:val="003856FE"/>
    <w:rsid w:val="0039582C"/>
    <w:rsid w:val="003A061D"/>
    <w:rsid w:val="003A2327"/>
    <w:rsid w:val="003A4C47"/>
    <w:rsid w:val="003A78DA"/>
    <w:rsid w:val="003B09E2"/>
    <w:rsid w:val="003B5B56"/>
    <w:rsid w:val="003B79C5"/>
    <w:rsid w:val="003C3317"/>
    <w:rsid w:val="003C6212"/>
    <w:rsid w:val="003C7AF0"/>
    <w:rsid w:val="003D05BC"/>
    <w:rsid w:val="003D0774"/>
    <w:rsid w:val="003D26F0"/>
    <w:rsid w:val="003D7A4F"/>
    <w:rsid w:val="003D7BE3"/>
    <w:rsid w:val="003E1F9D"/>
    <w:rsid w:val="003E36F6"/>
    <w:rsid w:val="003E6C0D"/>
    <w:rsid w:val="003E6E66"/>
    <w:rsid w:val="003E7B29"/>
    <w:rsid w:val="003F3402"/>
    <w:rsid w:val="003F5D83"/>
    <w:rsid w:val="00400D65"/>
    <w:rsid w:val="004045DB"/>
    <w:rsid w:val="004126F4"/>
    <w:rsid w:val="00413D7F"/>
    <w:rsid w:val="00414849"/>
    <w:rsid w:val="0041628D"/>
    <w:rsid w:val="004206B9"/>
    <w:rsid w:val="004233F5"/>
    <w:rsid w:val="00423716"/>
    <w:rsid w:val="004251DA"/>
    <w:rsid w:val="00425494"/>
    <w:rsid w:val="004263A5"/>
    <w:rsid w:val="00426ACE"/>
    <w:rsid w:val="00433A97"/>
    <w:rsid w:val="00434257"/>
    <w:rsid w:val="0043683A"/>
    <w:rsid w:val="00441043"/>
    <w:rsid w:val="00443F34"/>
    <w:rsid w:val="00445303"/>
    <w:rsid w:val="0045280F"/>
    <w:rsid w:val="00452B29"/>
    <w:rsid w:val="00457EF3"/>
    <w:rsid w:val="004609FB"/>
    <w:rsid w:val="004618BE"/>
    <w:rsid w:val="00461E26"/>
    <w:rsid w:val="00465D59"/>
    <w:rsid w:val="004751A3"/>
    <w:rsid w:val="00477399"/>
    <w:rsid w:val="00480D14"/>
    <w:rsid w:val="004824A6"/>
    <w:rsid w:val="00485673"/>
    <w:rsid w:val="00485D0F"/>
    <w:rsid w:val="00485E93"/>
    <w:rsid w:val="00486518"/>
    <w:rsid w:val="00490823"/>
    <w:rsid w:val="00490DA7"/>
    <w:rsid w:val="004A3C34"/>
    <w:rsid w:val="004B008A"/>
    <w:rsid w:val="004B1D11"/>
    <w:rsid w:val="004B1F7D"/>
    <w:rsid w:val="004B4CD7"/>
    <w:rsid w:val="004B5049"/>
    <w:rsid w:val="004C2B34"/>
    <w:rsid w:val="004C454D"/>
    <w:rsid w:val="004C4B6D"/>
    <w:rsid w:val="004D1749"/>
    <w:rsid w:val="004D4BC9"/>
    <w:rsid w:val="004E03FA"/>
    <w:rsid w:val="004E0473"/>
    <w:rsid w:val="004E7895"/>
    <w:rsid w:val="004F0204"/>
    <w:rsid w:val="004F0330"/>
    <w:rsid w:val="004F1D28"/>
    <w:rsid w:val="004F3BB5"/>
    <w:rsid w:val="004F3DDE"/>
    <w:rsid w:val="004F57BE"/>
    <w:rsid w:val="004F5CBD"/>
    <w:rsid w:val="005011E4"/>
    <w:rsid w:val="005032D7"/>
    <w:rsid w:val="005034F3"/>
    <w:rsid w:val="00503D41"/>
    <w:rsid w:val="00504809"/>
    <w:rsid w:val="00510F8E"/>
    <w:rsid w:val="00513BC4"/>
    <w:rsid w:val="00514586"/>
    <w:rsid w:val="00516363"/>
    <w:rsid w:val="00521F7D"/>
    <w:rsid w:val="0053106C"/>
    <w:rsid w:val="00544608"/>
    <w:rsid w:val="00547A23"/>
    <w:rsid w:val="00555F5D"/>
    <w:rsid w:val="00557BA6"/>
    <w:rsid w:val="005605A7"/>
    <w:rsid w:val="00565E77"/>
    <w:rsid w:val="0056691C"/>
    <w:rsid w:val="00570E99"/>
    <w:rsid w:val="0057342A"/>
    <w:rsid w:val="00574F0E"/>
    <w:rsid w:val="0057532F"/>
    <w:rsid w:val="00577993"/>
    <w:rsid w:val="0058278D"/>
    <w:rsid w:val="00582D13"/>
    <w:rsid w:val="00585990"/>
    <w:rsid w:val="00590A22"/>
    <w:rsid w:val="00594B29"/>
    <w:rsid w:val="00594F7A"/>
    <w:rsid w:val="00596E17"/>
    <w:rsid w:val="00597097"/>
    <w:rsid w:val="005A089B"/>
    <w:rsid w:val="005A2A41"/>
    <w:rsid w:val="005A32E5"/>
    <w:rsid w:val="005B0DAB"/>
    <w:rsid w:val="005B2CA7"/>
    <w:rsid w:val="005B38C1"/>
    <w:rsid w:val="005B3977"/>
    <w:rsid w:val="005B444D"/>
    <w:rsid w:val="005B76C9"/>
    <w:rsid w:val="005C33EC"/>
    <w:rsid w:val="005C796D"/>
    <w:rsid w:val="005D0FCB"/>
    <w:rsid w:val="005D374A"/>
    <w:rsid w:val="005E22C1"/>
    <w:rsid w:val="005E2D36"/>
    <w:rsid w:val="005E310E"/>
    <w:rsid w:val="005F528F"/>
    <w:rsid w:val="005F6490"/>
    <w:rsid w:val="005F6887"/>
    <w:rsid w:val="00600225"/>
    <w:rsid w:val="00600E7B"/>
    <w:rsid w:val="0061433B"/>
    <w:rsid w:val="006173FA"/>
    <w:rsid w:val="00621954"/>
    <w:rsid w:val="0062200E"/>
    <w:rsid w:val="006274D6"/>
    <w:rsid w:val="00627E02"/>
    <w:rsid w:val="00630A7F"/>
    <w:rsid w:val="00632F02"/>
    <w:rsid w:val="006336B1"/>
    <w:rsid w:val="0063418F"/>
    <w:rsid w:val="006373DD"/>
    <w:rsid w:val="0064107A"/>
    <w:rsid w:val="006420C9"/>
    <w:rsid w:val="00642BFD"/>
    <w:rsid w:val="006458D4"/>
    <w:rsid w:val="00650752"/>
    <w:rsid w:val="006512DB"/>
    <w:rsid w:val="00651B19"/>
    <w:rsid w:val="006543E5"/>
    <w:rsid w:val="00655EAD"/>
    <w:rsid w:val="00663A25"/>
    <w:rsid w:val="0066572B"/>
    <w:rsid w:val="00667504"/>
    <w:rsid w:val="00670D24"/>
    <w:rsid w:val="00671A36"/>
    <w:rsid w:val="006736A7"/>
    <w:rsid w:val="00674405"/>
    <w:rsid w:val="00675D79"/>
    <w:rsid w:val="00675DCD"/>
    <w:rsid w:val="00676C8A"/>
    <w:rsid w:val="0068093A"/>
    <w:rsid w:val="00680C54"/>
    <w:rsid w:val="006855F6"/>
    <w:rsid w:val="006862D3"/>
    <w:rsid w:val="006914B5"/>
    <w:rsid w:val="00692763"/>
    <w:rsid w:val="00693A2D"/>
    <w:rsid w:val="006967A5"/>
    <w:rsid w:val="006A2D4C"/>
    <w:rsid w:val="006A3992"/>
    <w:rsid w:val="006B6ED1"/>
    <w:rsid w:val="006C1A9A"/>
    <w:rsid w:val="006C372F"/>
    <w:rsid w:val="006C49D8"/>
    <w:rsid w:val="006D4C22"/>
    <w:rsid w:val="006D5099"/>
    <w:rsid w:val="006E1E29"/>
    <w:rsid w:val="006E59C8"/>
    <w:rsid w:val="006E63FD"/>
    <w:rsid w:val="006E6C86"/>
    <w:rsid w:val="006E6F70"/>
    <w:rsid w:val="006F1C25"/>
    <w:rsid w:val="006F5A18"/>
    <w:rsid w:val="006F6F51"/>
    <w:rsid w:val="007014EE"/>
    <w:rsid w:val="00701DC4"/>
    <w:rsid w:val="00702BBE"/>
    <w:rsid w:val="00702EFB"/>
    <w:rsid w:val="00705548"/>
    <w:rsid w:val="00714251"/>
    <w:rsid w:val="007144B0"/>
    <w:rsid w:val="00720507"/>
    <w:rsid w:val="00721186"/>
    <w:rsid w:val="00722BCA"/>
    <w:rsid w:val="00723E09"/>
    <w:rsid w:val="00725983"/>
    <w:rsid w:val="00726092"/>
    <w:rsid w:val="00726E90"/>
    <w:rsid w:val="00726F3A"/>
    <w:rsid w:val="007330D1"/>
    <w:rsid w:val="0073409B"/>
    <w:rsid w:val="007341AC"/>
    <w:rsid w:val="007355D1"/>
    <w:rsid w:val="00735ED1"/>
    <w:rsid w:val="00744111"/>
    <w:rsid w:val="00744AA8"/>
    <w:rsid w:val="00744AFC"/>
    <w:rsid w:val="00747CE9"/>
    <w:rsid w:val="0075044B"/>
    <w:rsid w:val="0075461B"/>
    <w:rsid w:val="0076032F"/>
    <w:rsid w:val="00763AB8"/>
    <w:rsid w:val="00764B8B"/>
    <w:rsid w:val="0078595E"/>
    <w:rsid w:val="00785C35"/>
    <w:rsid w:val="00792BF0"/>
    <w:rsid w:val="007A0E5A"/>
    <w:rsid w:val="007A21A0"/>
    <w:rsid w:val="007A268F"/>
    <w:rsid w:val="007A3D44"/>
    <w:rsid w:val="007A467B"/>
    <w:rsid w:val="007A6F26"/>
    <w:rsid w:val="007A7BD8"/>
    <w:rsid w:val="007B187E"/>
    <w:rsid w:val="007B28A6"/>
    <w:rsid w:val="007B3622"/>
    <w:rsid w:val="007B3B34"/>
    <w:rsid w:val="007B54C4"/>
    <w:rsid w:val="007B55FA"/>
    <w:rsid w:val="007B5D07"/>
    <w:rsid w:val="007C1A60"/>
    <w:rsid w:val="007C23A7"/>
    <w:rsid w:val="007C2C59"/>
    <w:rsid w:val="007C3933"/>
    <w:rsid w:val="007D179F"/>
    <w:rsid w:val="007D5277"/>
    <w:rsid w:val="007E1ADE"/>
    <w:rsid w:val="007E34BA"/>
    <w:rsid w:val="007E5574"/>
    <w:rsid w:val="007E6BBE"/>
    <w:rsid w:val="007E722A"/>
    <w:rsid w:val="007F0D3F"/>
    <w:rsid w:val="007F294A"/>
    <w:rsid w:val="007F5591"/>
    <w:rsid w:val="007F57AE"/>
    <w:rsid w:val="008028ED"/>
    <w:rsid w:val="00802AB1"/>
    <w:rsid w:val="0080445C"/>
    <w:rsid w:val="00804510"/>
    <w:rsid w:val="008056EC"/>
    <w:rsid w:val="00813A99"/>
    <w:rsid w:val="008151EC"/>
    <w:rsid w:val="0083290F"/>
    <w:rsid w:val="00836E83"/>
    <w:rsid w:val="0083705C"/>
    <w:rsid w:val="00837870"/>
    <w:rsid w:val="00837FEE"/>
    <w:rsid w:val="00842A41"/>
    <w:rsid w:val="008516E5"/>
    <w:rsid w:val="00852C9D"/>
    <w:rsid w:val="008539F3"/>
    <w:rsid w:val="00854DEA"/>
    <w:rsid w:val="0085593C"/>
    <w:rsid w:val="00862AB2"/>
    <w:rsid w:val="00865B2B"/>
    <w:rsid w:val="00865FD1"/>
    <w:rsid w:val="008666B0"/>
    <w:rsid w:val="008673CA"/>
    <w:rsid w:val="0087478F"/>
    <w:rsid w:val="00874A26"/>
    <w:rsid w:val="00880E8A"/>
    <w:rsid w:val="00883585"/>
    <w:rsid w:val="008923A3"/>
    <w:rsid w:val="00897678"/>
    <w:rsid w:val="0089778F"/>
    <w:rsid w:val="008A3AFA"/>
    <w:rsid w:val="008A4F78"/>
    <w:rsid w:val="008A6D5E"/>
    <w:rsid w:val="008A72C1"/>
    <w:rsid w:val="008B030D"/>
    <w:rsid w:val="008B0ECA"/>
    <w:rsid w:val="008B3D33"/>
    <w:rsid w:val="008B4054"/>
    <w:rsid w:val="008C14B0"/>
    <w:rsid w:val="008C3248"/>
    <w:rsid w:val="008C4F84"/>
    <w:rsid w:val="008D24FF"/>
    <w:rsid w:val="008D5EF1"/>
    <w:rsid w:val="008E0FA0"/>
    <w:rsid w:val="008E26AB"/>
    <w:rsid w:val="008E3EC9"/>
    <w:rsid w:val="008F6B42"/>
    <w:rsid w:val="008F70DB"/>
    <w:rsid w:val="008F76C8"/>
    <w:rsid w:val="008F7BB6"/>
    <w:rsid w:val="0090160F"/>
    <w:rsid w:val="00901729"/>
    <w:rsid w:val="009110F6"/>
    <w:rsid w:val="00914461"/>
    <w:rsid w:val="00914A36"/>
    <w:rsid w:val="009179E1"/>
    <w:rsid w:val="009203E3"/>
    <w:rsid w:val="0092273C"/>
    <w:rsid w:val="00923EA8"/>
    <w:rsid w:val="00924385"/>
    <w:rsid w:val="00925BC9"/>
    <w:rsid w:val="009308F9"/>
    <w:rsid w:val="00930CD8"/>
    <w:rsid w:val="0093328A"/>
    <w:rsid w:val="009353DA"/>
    <w:rsid w:val="009402EC"/>
    <w:rsid w:val="00945695"/>
    <w:rsid w:val="00947BD3"/>
    <w:rsid w:val="009511C6"/>
    <w:rsid w:val="00954236"/>
    <w:rsid w:val="00954D35"/>
    <w:rsid w:val="00960E9D"/>
    <w:rsid w:val="00963448"/>
    <w:rsid w:val="00973AD3"/>
    <w:rsid w:val="00976996"/>
    <w:rsid w:val="00977C5C"/>
    <w:rsid w:val="00981674"/>
    <w:rsid w:val="00984870"/>
    <w:rsid w:val="009852F0"/>
    <w:rsid w:val="00985CDE"/>
    <w:rsid w:val="00986CD5"/>
    <w:rsid w:val="00993F36"/>
    <w:rsid w:val="00995603"/>
    <w:rsid w:val="009964B4"/>
    <w:rsid w:val="00996833"/>
    <w:rsid w:val="009A199F"/>
    <w:rsid w:val="009A3994"/>
    <w:rsid w:val="009B2C7F"/>
    <w:rsid w:val="009B3714"/>
    <w:rsid w:val="009B3F29"/>
    <w:rsid w:val="009B5B33"/>
    <w:rsid w:val="009C1FC9"/>
    <w:rsid w:val="009C3B01"/>
    <w:rsid w:val="009C3CB2"/>
    <w:rsid w:val="009C6708"/>
    <w:rsid w:val="009C7AD4"/>
    <w:rsid w:val="009D0009"/>
    <w:rsid w:val="009D0EEF"/>
    <w:rsid w:val="009D27BE"/>
    <w:rsid w:val="009D4E7E"/>
    <w:rsid w:val="009D72B9"/>
    <w:rsid w:val="009E01B4"/>
    <w:rsid w:val="009E422E"/>
    <w:rsid w:val="009E5638"/>
    <w:rsid w:val="009E63F6"/>
    <w:rsid w:val="009E69A5"/>
    <w:rsid w:val="00A013B2"/>
    <w:rsid w:val="00A01D45"/>
    <w:rsid w:val="00A06DB9"/>
    <w:rsid w:val="00A10C0C"/>
    <w:rsid w:val="00A13FD3"/>
    <w:rsid w:val="00A3412A"/>
    <w:rsid w:val="00A351DB"/>
    <w:rsid w:val="00A43105"/>
    <w:rsid w:val="00A441AA"/>
    <w:rsid w:val="00A44D11"/>
    <w:rsid w:val="00A45A3B"/>
    <w:rsid w:val="00A51398"/>
    <w:rsid w:val="00A53752"/>
    <w:rsid w:val="00A61567"/>
    <w:rsid w:val="00A61930"/>
    <w:rsid w:val="00A634EA"/>
    <w:rsid w:val="00A66125"/>
    <w:rsid w:val="00A706CB"/>
    <w:rsid w:val="00A72262"/>
    <w:rsid w:val="00A75289"/>
    <w:rsid w:val="00A75898"/>
    <w:rsid w:val="00A812ED"/>
    <w:rsid w:val="00A81CF6"/>
    <w:rsid w:val="00A85DE8"/>
    <w:rsid w:val="00A869D0"/>
    <w:rsid w:val="00A90C84"/>
    <w:rsid w:val="00A9797A"/>
    <w:rsid w:val="00AA12B3"/>
    <w:rsid w:val="00AA4555"/>
    <w:rsid w:val="00AA51D1"/>
    <w:rsid w:val="00AA6B1A"/>
    <w:rsid w:val="00AB15FE"/>
    <w:rsid w:val="00AB646C"/>
    <w:rsid w:val="00AB68FF"/>
    <w:rsid w:val="00AC53E4"/>
    <w:rsid w:val="00AD1D65"/>
    <w:rsid w:val="00AD2687"/>
    <w:rsid w:val="00AD533A"/>
    <w:rsid w:val="00AD701D"/>
    <w:rsid w:val="00AE3247"/>
    <w:rsid w:val="00AE3552"/>
    <w:rsid w:val="00AE7207"/>
    <w:rsid w:val="00AF095A"/>
    <w:rsid w:val="00AF3A58"/>
    <w:rsid w:val="00AF3D12"/>
    <w:rsid w:val="00AF4086"/>
    <w:rsid w:val="00AF5EEF"/>
    <w:rsid w:val="00AF6682"/>
    <w:rsid w:val="00B03B8B"/>
    <w:rsid w:val="00B056A9"/>
    <w:rsid w:val="00B12992"/>
    <w:rsid w:val="00B133C1"/>
    <w:rsid w:val="00B15EEC"/>
    <w:rsid w:val="00B1763E"/>
    <w:rsid w:val="00B21AE0"/>
    <w:rsid w:val="00B22F0F"/>
    <w:rsid w:val="00B249D4"/>
    <w:rsid w:val="00B24C7B"/>
    <w:rsid w:val="00B24DB8"/>
    <w:rsid w:val="00B24FB6"/>
    <w:rsid w:val="00B25F5B"/>
    <w:rsid w:val="00B305F8"/>
    <w:rsid w:val="00B30827"/>
    <w:rsid w:val="00B30E93"/>
    <w:rsid w:val="00B31006"/>
    <w:rsid w:val="00B348A6"/>
    <w:rsid w:val="00B3553B"/>
    <w:rsid w:val="00B375D2"/>
    <w:rsid w:val="00B40648"/>
    <w:rsid w:val="00B40C4F"/>
    <w:rsid w:val="00B41888"/>
    <w:rsid w:val="00B41F7D"/>
    <w:rsid w:val="00B4778A"/>
    <w:rsid w:val="00B514B2"/>
    <w:rsid w:val="00B535A9"/>
    <w:rsid w:val="00B5741D"/>
    <w:rsid w:val="00B57968"/>
    <w:rsid w:val="00B6280B"/>
    <w:rsid w:val="00B63496"/>
    <w:rsid w:val="00B65E91"/>
    <w:rsid w:val="00B67FC5"/>
    <w:rsid w:val="00B75A1D"/>
    <w:rsid w:val="00B802B5"/>
    <w:rsid w:val="00B80FEA"/>
    <w:rsid w:val="00B825ED"/>
    <w:rsid w:val="00B8467C"/>
    <w:rsid w:val="00B91A4A"/>
    <w:rsid w:val="00B946C0"/>
    <w:rsid w:val="00B94844"/>
    <w:rsid w:val="00BA398B"/>
    <w:rsid w:val="00BA4150"/>
    <w:rsid w:val="00BA43B6"/>
    <w:rsid w:val="00BA52AD"/>
    <w:rsid w:val="00BA5871"/>
    <w:rsid w:val="00BA65BD"/>
    <w:rsid w:val="00BA7016"/>
    <w:rsid w:val="00BB157B"/>
    <w:rsid w:val="00BB5A54"/>
    <w:rsid w:val="00BB6209"/>
    <w:rsid w:val="00BC6DF5"/>
    <w:rsid w:val="00BD1278"/>
    <w:rsid w:val="00BD1AD7"/>
    <w:rsid w:val="00BD38E7"/>
    <w:rsid w:val="00BD4D45"/>
    <w:rsid w:val="00BD78CB"/>
    <w:rsid w:val="00BD7988"/>
    <w:rsid w:val="00BE2682"/>
    <w:rsid w:val="00BE4960"/>
    <w:rsid w:val="00BE4C96"/>
    <w:rsid w:val="00BF1054"/>
    <w:rsid w:val="00BF2D90"/>
    <w:rsid w:val="00BF640C"/>
    <w:rsid w:val="00C007C9"/>
    <w:rsid w:val="00C06DB9"/>
    <w:rsid w:val="00C107BA"/>
    <w:rsid w:val="00C11151"/>
    <w:rsid w:val="00C11279"/>
    <w:rsid w:val="00C1436A"/>
    <w:rsid w:val="00C20331"/>
    <w:rsid w:val="00C205F2"/>
    <w:rsid w:val="00C2743F"/>
    <w:rsid w:val="00C321CB"/>
    <w:rsid w:val="00C32422"/>
    <w:rsid w:val="00C3498D"/>
    <w:rsid w:val="00C376F0"/>
    <w:rsid w:val="00C37CD2"/>
    <w:rsid w:val="00C44542"/>
    <w:rsid w:val="00C44B5A"/>
    <w:rsid w:val="00C46247"/>
    <w:rsid w:val="00C50CC4"/>
    <w:rsid w:val="00C577A7"/>
    <w:rsid w:val="00C61011"/>
    <w:rsid w:val="00C63907"/>
    <w:rsid w:val="00C65BB8"/>
    <w:rsid w:val="00C7078D"/>
    <w:rsid w:val="00C7556C"/>
    <w:rsid w:val="00C85451"/>
    <w:rsid w:val="00C90F30"/>
    <w:rsid w:val="00C930F8"/>
    <w:rsid w:val="00C93BF7"/>
    <w:rsid w:val="00C967B9"/>
    <w:rsid w:val="00CA053E"/>
    <w:rsid w:val="00CB26C5"/>
    <w:rsid w:val="00CB3C91"/>
    <w:rsid w:val="00CB40BB"/>
    <w:rsid w:val="00CB4C33"/>
    <w:rsid w:val="00CB66EB"/>
    <w:rsid w:val="00CC30AA"/>
    <w:rsid w:val="00CC336F"/>
    <w:rsid w:val="00CC40F4"/>
    <w:rsid w:val="00CD3CB8"/>
    <w:rsid w:val="00CD70C6"/>
    <w:rsid w:val="00CE0DCB"/>
    <w:rsid w:val="00CE3306"/>
    <w:rsid w:val="00CE33BD"/>
    <w:rsid w:val="00CE7C28"/>
    <w:rsid w:val="00CF0A7B"/>
    <w:rsid w:val="00CF1E5B"/>
    <w:rsid w:val="00CF3E61"/>
    <w:rsid w:val="00D00DDE"/>
    <w:rsid w:val="00D01F4C"/>
    <w:rsid w:val="00D039A4"/>
    <w:rsid w:val="00D079E0"/>
    <w:rsid w:val="00D11D92"/>
    <w:rsid w:val="00D15A26"/>
    <w:rsid w:val="00D2010E"/>
    <w:rsid w:val="00D25FF9"/>
    <w:rsid w:val="00D30D0B"/>
    <w:rsid w:val="00D323D1"/>
    <w:rsid w:val="00D41BE2"/>
    <w:rsid w:val="00D50193"/>
    <w:rsid w:val="00D503D8"/>
    <w:rsid w:val="00D5725F"/>
    <w:rsid w:val="00D64947"/>
    <w:rsid w:val="00D64F5F"/>
    <w:rsid w:val="00D71B51"/>
    <w:rsid w:val="00D73730"/>
    <w:rsid w:val="00D73CBD"/>
    <w:rsid w:val="00D76963"/>
    <w:rsid w:val="00D77333"/>
    <w:rsid w:val="00D7768B"/>
    <w:rsid w:val="00D77916"/>
    <w:rsid w:val="00D80F54"/>
    <w:rsid w:val="00D816A4"/>
    <w:rsid w:val="00D8397A"/>
    <w:rsid w:val="00D84C85"/>
    <w:rsid w:val="00D85E41"/>
    <w:rsid w:val="00D85FC2"/>
    <w:rsid w:val="00D86672"/>
    <w:rsid w:val="00D87E57"/>
    <w:rsid w:val="00D9431F"/>
    <w:rsid w:val="00D965B3"/>
    <w:rsid w:val="00DA2176"/>
    <w:rsid w:val="00DA556B"/>
    <w:rsid w:val="00DA69D2"/>
    <w:rsid w:val="00DA733C"/>
    <w:rsid w:val="00DB007A"/>
    <w:rsid w:val="00DB07D6"/>
    <w:rsid w:val="00DB08F6"/>
    <w:rsid w:val="00DB310D"/>
    <w:rsid w:val="00DB343C"/>
    <w:rsid w:val="00DB35EA"/>
    <w:rsid w:val="00DC0B41"/>
    <w:rsid w:val="00DC2188"/>
    <w:rsid w:val="00DC434E"/>
    <w:rsid w:val="00DC4673"/>
    <w:rsid w:val="00DC53D9"/>
    <w:rsid w:val="00DC6C8E"/>
    <w:rsid w:val="00DC6F09"/>
    <w:rsid w:val="00DD2EDC"/>
    <w:rsid w:val="00DD4268"/>
    <w:rsid w:val="00DD63C6"/>
    <w:rsid w:val="00DD7F38"/>
    <w:rsid w:val="00DE1926"/>
    <w:rsid w:val="00DE2F54"/>
    <w:rsid w:val="00DE50B1"/>
    <w:rsid w:val="00DE7FD6"/>
    <w:rsid w:val="00DF1838"/>
    <w:rsid w:val="00DF2772"/>
    <w:rsid w:val="00DF38E8"/>
    <w:rsid w:val="00DF4326"/>
    <w:rsid w:val="00DF4B4A"/>
    <w:rsid w:val="00DF61C3"/>
    <w:rsid w:val="00E01067"/>
    <w:rsid w:val="00E01222"/>
    <w:rsid w:val="00E039CB"/>
    <w:rsid w:val="00E045D3"/>
    <w:rsid w:val="00E0648E"/>
    <w:rsid w:val="00E10E90"/>
    <w:rsid w:val="00E162FF"/>
    <w:rsid w:val="00E16B4D"/>
    <w:rsid w:val="00E2481A"/>
    <w:rsid w:val="00E24B74"/>
    <w:rsid w:val="00E2622B"/>
    <w:rsid w:val="00E264D6"/>
    <w:rsid w:val="00E26FE7"/>
    <w:rsid w:val="00E3079B"/>
    <w:rsid w:val="00E31910"/>
    <w:rsid w:val="00E31C84"/>
    <w:rsid w:val="00E33AA5"/>
    <w:rsid w:val="00E36F4F"/>
    <w:rsid w:val="00E4128B"/>
    <w:rsid w:val="00E41B24"/>
    <w:rsid w:val="00E42C68"/>
    <w:rsid w:val="00E4664A"/>
    <w:rsid w:val="00E47465"/>
    <w:rsid w:val="00E47654"/>
    <w:rsid w:val="00E47ACA"/>
    <w:rsid w:val="00E55853"/>
    <w:rsid w:val="00E55C74"/>
    <w:rsid w:val="00E5793F"/>
    <w:rsid w:val="00E616B7"/>
    <w:rsid w:val="00E623E3"/>
    <w:rsid w:val="00E67D7D"/>
    <w:rsid w:val="00E72B40"/>
    <w:rsid w:val="00E74024"/>
    <w:rsid w:val="00E83F03"/>
    <w:rsid w:val="00E844AC"/>
    <w:rsid w:val="00E8654D"/>
    <w:rsid w:val="00E865F5"/>
    <w:rsid w:val="00E87DB7"/>
    <w:rsid w:val="00E935D7"/>
    <w:rsid w:val="00EA1484"/>
    <w:rsid w:val="00EA1BD3"/>
    <w:rsid w:val="00EA23E3"/>
    <w:rsid w:val="00EA2E5D"/>
    <w:rsid w:val="00EA3BEE"/>
    <w:rsid w:val="00EA4CF8"/>
    <w:rsid w:val="00EB3616"/>
    <w:rsid w:val="00EB4042"/>
    <w:rsid w:val="00EB5B7F"/>
    <w:rsid w:val="00EC22D3"/>
    <w:rsid w:val="00EC2F4A"/>
    <w:rsid w:val="00ED244D"/>
    <w:rsid w:val="00ED3666"/>
    <w:rsid w:val="00ED5569"/>
    <w:rsid w:val="00EE03D3"/>
    <w:rsid w:val="00EE18C6"/>
    <w:rsid w:val="00EE374C"/>
    <w:rsid w:val="00EE685E"/>
    <w:rsid w:val="00EE71D3"/>
    <w:rsid w:val="00EF0D17"/>
    <w:rsid w:val="00EF11FB"/>
    <w:rsid w:val="00EF2B33"/>
    <w:rsid w:val="00EF6053"/>
    <w:rsid w:val="00EF63EC"/>
    <w:rsid w:val="00EF7E22"/>
    <w:rsid w:val="00EF7EA9"/>
    <w:rsid w:val="00F003D1"/>
    <w:rsid w:val="00F07296"/>
    <w:rsid w:val="00F11210"/>
    <w:rsid w:val="00F12F1F"/>
    <w:rsid w:val="00F13E1E"/>
    <w:rsid w:val="00F1448B"/>
    <w:rsid w:val="00F234FD"/>
    <w:rsid w:val="00F316B8"/>
    <w:rsid w:val="00F37172"/>
    <w:rsid w:val="00F41899"/>
    <w:rsid w:val="00F4247E"/>
    <w:rsid w:val="00F42548"/>
    <w:rsid w:val="00F426DB"/>
    <w:rsid w:val="00F50A1C"/>
    <w:rsid w:val="00F62616"/>
    <w:rsid w:val="00F63FA2"/>
    <w:rsid w:val="00F65BC4"/>
    <w:rsid w:val="00F67517"/>
    <w:rsid w:val="00F67710"/>
    <w:rsid w:val="00F71A29"/>
    <w:rsid w:val="00F75E20"/>
    <w:rsid w:val="00F77758"/>
    <w:rsid w:val="00F81822"/>
    <w:rsid w:val="00F842B5"/>
    <w:rsid w:val="00F901F5"/>
    <w:rsid w:val="00F90FB0"/>
    <w:rsid w:val="00F92515"/>
    <w:rsid w:val="00F92C22"/>
    <w:rsid w:val="00F947C2"/>
    <w:rsid w:val="00F94D7B"/>
    <w:rsid w:val="00FA33CA"/>
    <w:rsid w:val="00FA62ED"/>
    <w:rsid w:val="00FB1AA8"/>
    <w:rsid w:val="00FB2D5E"/>
    <w:rsid w:val="00FC2FC8"/>
    <w:rsid w:val="00FC31EE"/>
    <w:rsid w:val="00FC32C3"/>
    <w:rsid w:val="00FD2911"/>
    <w:rsid w:val="00FE0697"/>
    <w:rsid w:val="00FE17BC"/>
    <w:rsid w:val="00FE29B0"/>
    <w:rsid w:val="00FE3217"/>
    <w:rsid w:val="00FE4643"/>
    <w:rsid w:val="00FE7CF8"/>
    <w:rsid w:val="00FE7EC5"/>
    <w:rsid w:val="00FF24D5"/>
    <w:rsid w:val="00FF2BAF"/>
    <w:rsid w:val="00FF4522"/>
    <w:rsid w:val="00FF46B2"/>
    <w:rsid w:val="00FF4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8FDC4"/>
  <w15:chartTrackingRefBased/>
  <w15:docId w15:val="{5BDE0215-C0E2-44DA-BA3B-74C233DD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D24"/>
    <w:pPr>
      <w:outlineLvl w:val="0"/>
    </w:pPr>
    <w:rPr>
      <w:b/>
      <w:bCs/>
      <w:u w:val="single"/>
    </w:rPr>
  </w:style>
  <w:style w:type="paragraph" w:styleId="Heading2">
    <w:name w:val="heading 2"/>
    <w:basedOn w:val="Normal"/>
    <w:next w:val="Normal"/>
    <w:link w:val="Heading2Char"/>
    <w:uiPriority w:val="9"/>
    <w:semiHidden/>
    <w:unhideWhenUsed/>
    <w:qFormat/>
    <w:rsid w:val="008C3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D24"/>
    <w:rPr>
      <w:b/>
      <w:bCs/>
      <w:u w:val="single"/>
    </w:rPr>
  </w:style>
  <w:style w:type="character" w:customStyle="1" w:styleId="Heading2Char">
    <w:name w:val="Heading 2 Char"/>
    <w:basedOn w:val="DefaultParagraphFont"/>
    <w:link w:val="Heading2"/>
    <w:uiPriority w:val="9"/>
    <w:semiHidden/>
    <w:rsid w:val="008C3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248"/>
    <w:rPr>
      <w:rFonts w:eastAsiaTheme="majorEastAsia" w:cstheme="majorBidi"/>
      <w:color w:val="272727" w:themeColor="text1" w:themeTint="D8"/>
    </w:rPr>
  </w:style>
  <w:style w:type="paragraph" w:styleId="Title">
    <w:name w:val="Title"/>
    <w:basedOn w:val="Normal"/>
    <w:next w:val="Normal"/>
    <w:link w:val="TitleChar"/>
    <w:uiPriority w:val="10"/>
    <w:qFormat/>
    <w:rsid w:val="008C3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248"/>
    <w:pPr>
      <w:spacing w:before="160"/>
      <w:jc w:val="center"/>
    </w:pPr>
    <w:rPr>
      <w:i/>
      <w:iCs/>
      <w:color w:val="404040" w:themeColor="text1" w:themeTint="BF"/>
    </w:rPr>
  </w:style>
  <w:style w:type="character" w:customStyle="1" w:styleId="QuoteChar">
    <w:name w:val="Quote Char"/>
    <w:basedOn w:val="DefaultParagraphFont"/>
    <w:link w:val="Quote"/>
    <w:uiPriority w:val="29"/>
    <w:rsid w:val="008C3248"/>
    <w:rPr>
      <w:i/>
      <w:iCs/>
      <w:color w:val="404040" w:themeColor="text1" w:themeTint="BF"/>
    </w:rPr>
  </w:style>
  <w:style w:type="paragraph" w:styleId="ListParagraph">
    <w:name w:val="List Paragraph"/>
    <w:basedOn w:val="Normal"/>
    <w:uiPriority w:val="34"/>
    <w:qFormat/>
    <w:rsid w:val="008C3248"/>
    <w:pPr>
      <w:ind w:left="720"/>
      <w:contextualSpacing/>
    </w:pPr>
  </w:style>
  <w:style w:type="character" w:styleId="IntenseEmphasis">
    <w:name w:val="Intense Emphasis"/>
    <w:basedOn w:val="DefaultParagraphFont"/>
    <w:uiPriority w:val="21"/>
    <w:qFormat/>
    <w:rsid w:val="008C3248"/>
    <w:rPr>
      <w:i/>
      <w:iCs/>
      <w:color w:val="0F4761" w:themeColor="accent1" w:themeShade="BF"/>
    </w:rPr>
  </w:style>
  <w:style w:type="paragraph" w:styleId="IntenseQuote">
    <w:name w:val="Intense Quote"/>
    <w:basedOn w:val="Normal"/>
    <w:next w:val="Normal"/>
    <w:link w:val="IntenseQuoteChar"/>
    <w:uiPriority w:val="30"/>
    <w:qFormat/>
    <w:rsid w:val="008C3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248"/>
    <w:rPr>
      <w:i/>
      <w:iCs/>
      <w:color w:val="0F4761" w:themeColor="accent1" w:themeShade="BF"/>
    </w:rPr>
  </w:style>
  <w:style w:type="character" w:styleId="IntenseReference">
    <w:name w:val="Intense Reference"/>
    <w:basedOn w:val="DefaultParagraphFont"/>
    <w:uiPriority w:val="32"/>
    <w:qFormat/>
    <w:rsid w:val="008C3248"/>
    <w:rPr>
      <w:b/>
      <w:bCs/>
      <w:smallCaps/>
      <w:color w:val="0F4761" w:themeColor="accent1" w:themeShade="BF"/>
      <w:spacing w:val="5"/>
    </w:rPr>
  </w:style>
  <w:style w:type="table" w:styleId="TableGrid">
    <w:name w:val="Table Grid"/>
    <w:basedOn w:val="TableNormal"/>
    <w:uiPriority w:val="39"/>
    <w:rsid w:val="00DF1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B76C9"/>
    <w:pPr>
      <w:spacing w:after="200" w:line="240" w:lineRule="auto"/>
    </w:pPr>
    <w:rPr>
      <w:i/>
      <w:iCs/>
      <w:color w:val="0E2841" w:themeColor="text2"/>
      <w:sz w:val="18"/>
      <w:szCs w:val="18"/>
    </w:rPr>
  </w:style>
  <w:style w:type="paragraph" w:styleId="Header">
    <w:name w:val="header"/>
    <w:basedOn w:val="Normal"/>
    <w:link w:val="HeaderChar"/>
    <w:uiPriority w:val="99"/>
    <w:unhideWhenUsed/>
    <w:rsid w:val="00C32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422"/>
  </w:style>
  <w:style w:type="paragraph" w:styleId="Footer">
    <w:name w:val="footer"/>
    <w:basedOn w:val="Normal"/>
    <w:link w:val="FooterChar"/>
    <w:uiPriority w:val="99"/>
    <w:unhideWhenUsed/>
    <w:rsid w:val="00C32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422"/>
  </w:style>
  <w:style w:type="paragraph" w:styleId="FootnoteText">
    <w:name w:val="footnote text"/>
    <w:basedOn w:val="Normal"/>
    <w:link w:val="FootnoteTextChar"/>
    <w:uiPriority w:val="99"/>
    <w:unhideWhenUsed/>
    <w:rsid w:val="00BE4960"/>
    <w:pPr>
      <w:spacing w:after="0" w:line="240" w:lineRule="auto"/>
    </w:pPr>
    <w:rPr>
      <w:sz w:val="20"/>
      <w:szCs w:val="20"/>
    </w:rPr>
  </w:style>
  <w:style w:type="character" w:customStyle="1" w:styleId="FootnoteTextChar">
    <w:name w:val="Footnote Text Char"/>
    <w:basedOn w:val="DefaultParagraphFont"/>
    <w:link w:val="FootnoteText"/>
    <w:uiPriority w:val="99"/>
    <w:rsid w:val="00BE4960"/>
    <w:rPr>
      <w:sz w:val="20"/>
      <w:szCs w:val="20"/>
    </w:rPr>
  </w:style>
  <w:style w:type="character" w:styleId="FootnoteReference">
    <w:name w:val="footnote reference"/>
    <w:basedOn w:val="DefaultParagraphFont"/>
    <w:uiPriority w:val="99"/>
    <w:semiHidden/>
    <w:unhideWhenUsed/>
    <w:rsid w:val="00BE4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641DD-3929-46DC-944F-26F9E95E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4572</TotalTime>
  <Pages>8</Pages>
  <Words>3639</Words>
  <Characters>19400</Characters>
  <Application>Microsoft Office Word</Application>
  <DocSecurity>0</DocSecurity>
  <Lines>431</Lines>
  <Paragraphs>235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Bolton</dc:creator>
  <cp:keywords/>
  <dc:description/>
  <cp:lastModifiedBy>Emily Bolton</cp:lastModifiedBy>
  <cp:revision>861</cp:revision>
  <cp:lastPrinted>2026-01-14T15:26:00Z</cp:lastPrinted>
  <dcterms:created xsi:type="dcterms:W3CDTF">2026-01-04T13:54:00Z</dcterms:created>
  <dcterms:modified xsi:type="dcterms:W3CDTF">2026-01-19T05:10:00Z</dcterms:modified>
</cp:coreProperties>
</file>