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5613" w14:textId="37377F9E" w:rsidR="0096442E" w:rsidRPr="0096442E" w:rsidRDefault="0096442E" w:rsidP="0096442E">
      <w:pPr>
        <w:pStyle w:val="NormalWeb"/>
        <w:shd w:val="clear" w:color="auto" w:fill="FEFEFE"/>
        <w:jc w:val="center"/>
        <w:rPr>
          <w:b/>
          <w:bCs/>
          <w:color w:val="000000" w:themeColor="text1"/>
          <w:sz w:val="22"/>
          <w:szCs w:val="22"/>
        </w:rPr>
      </w:pPr>
      <w:r w:rsidRPr="0096442E">
        <w:rPr>
          <w:b/>
          <w:bCs/>
          <w:color w:val="000000" w:themeColor="text1"/>
          <w:sz w:val="22"/>
          <w:szCs w:val="22"/>
        </w:rPr>
        <w:t>Do stock exchanges matter for economic growth? Firm finance and investment efficiency of Dutch exchange-listed firms between 1881 and 1940</w:t>
      </w:r>
      <w:r w:rsidRPr="0096442E">
        <w:rPr>
          <w:b/>
          <w:bCs/>
          <w:color w:val="000000" w:themeColor="text1"/>
          <w:sz w:val="22"/>
          <w:szCs w:val="22"/>
        </w:rPr>
        <w:t>.</w:t>
      </w:r>
    </w:p>
    <w:p w14:paraId="6E4879E3" w14:textId="72D10AE8" w:rsidR="0096442E" w:rsidRPr="0096442E" w:rsidRDefault="0096442E" w:rsidP="0096442E">
      <w:pPr>
        <w:pStyle w:val="NormalWeb"/>
        <w:shd w:val="clear" w:color="auto" w:fill="FEFEFE"/>
        <w:rPr>
          <w:color w:val="000000" w:themeColor="text1"/>
          <w:sz w:val="22"/>
          <w:szCs w:val="22"/>
        </w:rPr>
      </w:pPr>
      <w:r w:rsidRPr="0096442E">
        <w:rPr>
          <w:color w:val="000000" w:themeColor="text1"/>
          <w:sz w:val="22"/>
          <w:szCs w:val="22"/>
        </w:rPr>
        <w:t>The Dutch have some claim to a pioneering role in stock exchange capitalism, with an active shareholding culture emerging as early as the 17th century (De Jong &amp; Roell, 2005). However, in the centuries that followed, Dutch domestic firms appear to have made relatively little use of the Amsterdam Stock Exchange to finance their investments, typically relying on retained earnings in stead (De Jong &amp; Westerhuis, 2015).  This begs the question of how important the stock exchanges were to the growth of Dutch firms, and consequently, to the economy of The Netherlands.</w:t>
      </w:r>
    </w:p>
    <w:p w14:paraId="6D78F1F2" w14:textId="77777777" w:rsidR="0096442E" w:rsidRPr="0096442E" w:rsidRDefault="0096442E" w:rsidP="0096442E">
      <w:pPr>
        <w:pStyle w:val="NormalWeb"/>
        <w:shd w:val="clear" w:color="auto" w:fill="FEFEFE"/>
        <w:rPr>
          <w:color w:val="000000" w:themeColor="text1"/>
          <w:sz w:val="22"/>
          <w:szCs w:val="22"/>
        </w:rPr>
      </w:pPr>
      <w:r w:rsidRPr="0096442E">
        <w:rPr>
          <w:color w:val="000000" w:themeColor="text1"/>
          <w:sz w:val="22"/>
          <w:szCs w:val="22"/>
        </w:rPr>
        <w:t>Our paper studies the allocation of capital among all exchange-listed firms in The Netherlands between 1881 and 1940, and asks whether the Amsterdam stock exchanges mattered for economic development. We investigate all sources of funding of investment by Dutch corporations and include both public funding via the stock exchange and private funding by investors and intermediaries such as banks and institutional investors. Then, we measure the efficiency of the firms’ investments. This allows us to analyse the relation between the sources of funding of a firm and investment efficiency.</w:t>
      </w:r>
    </w:p>
    <w:p w14:paraId="53E6D41D" w14:textId="77777777" w:rsidR="0096442E" w:rsidRPr="0096442E" w:rsidRDefault="0096442E" w:rsidP="0096442E">
      <w:pPr>
        <w:pStyle w:val="NormalWeb"/>
        <w:shd w:val="clear" w:color="auto" w:fill="FEFEFE"/>
        <w:rPr>
          <w:color w:val="000000" w:themeColor="text1"/>
          <w:sz w:val="22"/>
          <w:szCs w:val="22"/>
        </w:rPr>
      </w:pPr>
      <w:r w:rsidRPr="0096442E">
        <w:rPr>
          <w:color w:val="000000" w:themeColor="text1"/>
          <w:sz w:val="22"/>
          <w:szCs w:val="22"/>
        </w:rPr>
        <w:t>To this end, we use a novel dataset containing financial statement data of all Dutch exchange-listed firms between 1881 and 1940, and conduct two analyses. In our first analysis we follow the approaches used by Thomas (2015) and O’Sullivan (2016). We measure funding of corporations through their spending on real investment, and chart the money flowing into them from the various available sources, distinguishing between retained earnings, debt and equity issues via the stock exchange, and borrowings from financial institutions. We then measure and analyse the proportion of total corporate investment funded by the stock exchange over time.</w:t>
      </w:r>
    </w:p>
    <w:p w14:paraId="59643879" w14:textId="77777777" w:rsidR="0096442E" w:rsidRPr="0096442E" w:rsidRDefault="0096442E" w:rsidP="0096442E">
      <w:pPr>
        <w:pStyle w:val="NormalWeb"/>
        <w:shd w:val="clear" w:color="auto" w:fill="FEFEFE"/>
        <w:rPr>
          <w:color w:val="000000" w:themeColor="text1"/>
          <w:sz w:val="22"/>
          <w:szCs w:val="22"/>
        </w:rPr>
      </w:pPr>
      <w:r w:rsidRPr="0096442E">
        <w:rPr>
          <w:color w:val="000000" w:themeColor="text1"/>
          <w:sz w:val="22"/>
          <w:szCs w:val="22"/>
        </w:rPr>
        <w:t>In our second analysis we measure efficiency of the allocation of capital and investments, following the approaches of (1) Wurgler (2000) and Bena and Ondko (2012) and (2) Biddle et al (2009) and Guariglia and Yang (2016). While the former measures the flow of funds to sectors with good growth prospects, the latter distinguished overinvestment and underinvestment relative to an optimal investment model. Additionally, we utilise shocks to external financing to determine whether limited access to external funds affected investment behaviour. The main shocks we investigate are the stock exchange closure in 1914 after the outbreak of World War I, the 1923 banking crisis, and the 1929 stock market collapse.</w:t>
      </w:r>
    </w:p>
    <w:p w14:paraId="74D74EEC" w14:textId="77777777" w:rsidR="0096442E" w:rsidRPr="0096442E" w:rsidRDefault="0096442E" w:rsidP="0096442E">
      <w:pPr>
        <w:pStyle w:val="NormalWeb"/>
        <w:shd w:val="clear" w:color="auto" w:fill="FEFEFE"/>
        <w:rPr>
          <w:color w:val="000000" w:themeColor="text1"/>
          <w:sz w:val="22"/>
          <w:szCs w:val="22"/>
        </w:rPr>
      </w:pPr>
      <w:r w:rsidRPr="0096442E">
        <w:rPr>
          <w:color w:val="000000" w:themeColor="text1"/>
          <w:sz w:val="22"/>
          <w:szCs w:val="22"/>
        </w:rPr>
        <w:t>Preliminary results show that at first sight, the Amsterdam Stock Exchange only played a minor role in the total financing of Dutch firms between 1881 and 1940, because internal financing – firm’s profits that are not paid out as dividends – was by far the dominant source of financing. However, for many firms, external financing with bonds, bank debt and new equity issues were essential sources to fund investments. We document how the availability of internal funds, as well as access to external financing, drives the investment behaviour in the Netherlands. This allows us to evaluate the efficient allocation of capital in a growing economy that is facing several shocks.</w:t>
      </w:r>
    </w:p>
    <w:p w14:paraId="35BBF2F1" w14:textId="77777777" w:rsidR="00EA23DE" w:rsidRDefault="00EA23DE"/>
    <w:sectPr w:rsidR="00EA23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2E"/>
    <w:rsid w:val="00221CE4"/>
    <w:rsid w:val="002E717F"/>
    <w:rsid w:val="00774694"/>
    <w:rsid w:val="007758B0"/>
    <w:rsid w:val="00924DB9"/>
    <w:rsid w:val="0096442E"/>
    <w:rsid w:val="00EA23DE"/>
    <w:rsid w:val="00FF0516"/>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5CB7C9CC"/>
  <w15:chartTrackingRefBased/>
  <w15:docId w15:val="{F3669211-A277-D845-B2DC-71EA1868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4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4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4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4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4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4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4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4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4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4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4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4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4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4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4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4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4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42E"/>
    <w:rPr>
      <w:rFonts w:eastAsiaTheme="majorEastAsia" w:cstheme="majorBidi"/>
      <w:color w:val="272727" w:themeColor="text1" w:themeTint="D8"/>
    </w:rPr>
  </w:style>
  <w:style w:type="paragraph" w:styleId="Title">
    <w:name w:val="Title"/>
    <w:basedOn w:val="Normal"/>
    <w:next w:val="Normal"/>
    <w:link w:val="TitleChar"/>
    <w:uiPriority w:val="10"/>
    <w:qFormat/>
    <w:rsid w:val="009644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4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4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4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4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442E"/>
    <w:rPr>
      <w:i/>
      <w:iCs/>
      <w:color w:val="404040" w:themeColor="text1" w:themeTint="BF"/>
    </w:rPr>
  </w:style>
  <w:style w:type="paragraph" w:styleId="ListParagraph">
    <w:name w:val="List Paragraph"/>
    <w:basedOn w:val="Normal"/>
    <w:uiPriority w:val="34"/>
    <w:qFormat/>
    <w:rsid w:val="0096442E"/>
    <w:pPr>
      <w:ind w:left="720"/>
      <w:contextualSpacing/>
    </w:pPr>
  </w:style>
  <w:style w:type="character" w:styleId="IntenseEmphasis">
    <w:name w:val="Intense Emphasis"/>
    <w:basedOn w:val="DefaultParagraphFont"/>
    <w:uiPriority w:val="21"/>
    <w:qFormat/>
    <w:rsid w:val="0096442E"/>
    <w:rPr>
      <w:i/>
      <w:iCs/>
      <w:color w:val="0F4761" w:themeColor="accent1" w:themeShade="BF"/>
    </w:rPr>
  </w:style>
  <w:style w:type="paragraph" w:styleId="IntenseQuote">
    <w:name w:val="Intense Quote"/>
    <w:basedOn w:val="Normal"/>
    <w:next w:val="Normal"/>
    <w:link w:val="IntenseQuoteChar"/>
    <w:uiPriority w:val="30"/>
    <w:qFormat/>
    <w:rsid w:val="009644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42E"/>
    <w:rPr>
      <w:i/>
      <w:iCs/>
      <w:color w:val="0F4761" w:themeColor="accent1" w:themeShade="BF"/>
    </w:rPr>
  </w:style>
  <w:style w:type="character" w:styleId="IntenseReference">
    <w:name w:val="Intense Reference"/>
    <w:basedOn w:val="DefaultParagraphFont"/>
    <w:uiPriority w:val="32"/>
    <w:qFormat/>
    <w:rsid w:val="0096442E"/>
    <w:rPr>
      <w:b/>
      <w:bCs/>
      <w:smallCaps/>
      <w:color w:val="0F4761" w:themeColor="accent1" w:themeShade="BF"/>
      <w:spacing w:val="5"/>
    </w:rPr>
  </w:style>
  <w:style w:type="paragraph" w:styleId="NormalWeb">
    <w:name w:val="Normal (Web)"/>
    <w:basedOn w:val="Normal"/>
    <w:uiPriority w:val="99"/>
    <w:semiHidden/>
    <w:unhideWhenUsed/>
    <w:rsid w:val="0096442E"/>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Drok</dc:creator>
  <cp:keywords/>
  <dc:description/>
  <cp:lastModifiedBy>Pieter Drok</cp:lastModifiedBy>
  <cp:revision>1</cp:revision>
  <dcterms:created xsi:type="dcterms:W3CDTF">2026-02-28T18:49:00Z</dcterms:created>
  <dcterms:modified xsi:type="dcterms:W3CDTF">2026-02-28T18:51:00Z</dcterms:modified>
</cp:coreProperties>
</file>