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172A" w14:textId="34E84F93" w:rsidR="009703F5" w:rsidRDefault="009703F5">
      <w:r>
        <w:t>Jane Whittle, University of Exeter</w:t>
      </w:r>
    </w:p>
    <w:p w14:paraId="59EF83DD" w14:textId="68A2A40F" w:rsidR="00DD3F33" w:rsidRPr="009703F5" w:rsidRDefault="00A00CCA" w:rsidP="009703F5">
      <w:pPr>
        <w:jc w:val="center"/>
        <w:rPr>
          <w:sz w:val="28"/>
          <w:szCs w:val="28"/>
        </w:rPr>
      </w:pPr>
      <w:r w:rsidRPr="009703F5">
        <w:rPr>
          <w:sz w:val="28"/>
          <w:szCs w:val="28"/>
        </w:rPr>
        <w:t>Bequests in wills as a measure of economic change in England 1540-1790</w:t>
      </w:r>
    </w:p>
    <w:p w14:paraId="0DD21890" w14:textId="4A828591" w:rsidR="00A00CCA" w:rsidRPr="009703F5" w:rsidRDefault="00A00CCA">
      <w:pPr>
        <w:rPr>
          <w:sz w:val="20"/>
          <w:szCs w:val="20"/>
        </w:rPr>
      </w:pPr>
      <w:r w:rsidRPr="009703F5">
        <w:rPr>
          <w:sz w:val="20"/>
          <w:szCs w:val="20"/>
        </w:rPr>
        <w:t xml:space="preserve">This paper presents the preliminary findings of the Leverhulme Trust-funded project, </w:t>
      </w:r>
      <w:r w:rsidR="0053339E">
        <w:rPr>
          <w:sz w:val="20"/>
          <w:szCs w:val="20"/>
        </w:rPr>
        <w:t>‘T</w:t>
      </w:r>
      <w:r w:rsidRPr="009703F5">
        <w:rPr>
          <w:sz w:val="20"/>
          <w:szCs w:val="20"/>
        </w:rPr>
        <w:t xml:space="preserve">he </w:t>
      </w:r>
      <w:r w:rsidR="0053339E">
        <w:rPr>
          <w:sz w:val="20"/>
          <w:szCs w:val="20"/>
        </w:rPr>
        <w:t>M</w:t>
      </w:r>
      <w:r w:rsidRPr="009703F5">
        <w:rPr>
          <w:sz w:val="20"/>
          <w:szCs w:val="20"/>
        </w:rPr>
        <w:t xml:space="preserve">aterial </w:t>
      </w:r>
      <w:r w:rsidR="0053339E">
        <w:rPr>
          <w:sz w:val="20"/>
          <w:szCs w:val="20"/>
        </w:rPr>
        <w:t>C</w:t>
      </w:r>
      <w:r w:rsidRPr="009703F5">
        <w:rPr>
          <w:sz w:val="20"/>
          <w:szCs w:val="20"/>
        </w:rPr>
        <w:t xml:space="preserve">ulture of </w:t>
      </w:r>
      <w:r w:rsidR="0053339E">
        <w:rPr>
          <w:sz w:val="20"/>
          <w:szCs w:val="20"/>
        </w:rPr>
        <w:t>W</w:t>
      </w:r>
      <w:r w:rsidRPr="009703F5">
        <w:rPr>
          <w:sz w:val="20"/>
          <w:szCs w:val="20"/>
        </w:rPr>
        <w:t>ills</w:t>
      </w:r>
      <w:r w:rsidR="0053339E">
        <w:rPr>
          <w:sz w:val="20"/>
          <w:szCs w:val="20"/>
        </w:rPr>
        <w:t>: England 1540-1790’</w:t>
      </w:r>
      <w:r w:rsidRPr="009703F5">
        <w:rPr>
          <w:sz w:val="20"/>
          <w:szCs w:val="20"/>
        </w:rPr>
        <w:t>. I would like to thank Harry Smith, Emily Vine and Laura Sangha for their assistance in compiling this data.</w:t>
      </w:r>
      <w:r w:rsidR="002F4980">
        <w:rPr>
          <w:sz w:val="20"/>
          <w:szCs w:val="20"/>
        </w:rPr>
        <w:t xml:space="preserve"> These results are preliminary. Please do not quote without permission.</w:t>
      </w:r>
    </w:p>
    <w:p w14:paraId="439CBAA4" w14:textId="6B68ABCA" w:rsidR="00DE7C6C" w:rsidRDefault="00BE7E34" w:rsidP="00A00CCA">
      <w:r>
        <w:t>Wills have been much used by historians</w:t>
      </w:r>
      <w:r w:rsidR="00FB7B3E">
        <w:t xml:space="preserve">, for instance </w:t>
      </w:r>
      <w:r>
        <w:t xml:space="preserve">to track religious change, </w:t>
      </w:r>
      <w:r w:rsidR="00FB7B3E">
        <w:t>patterns of inheritance</w:t>
      </w:r>
      <w:r w:rsidR="006032F2">
        <w:t xml:space="preserve"> and family demography. Social and cultural historians</w:t>
      </w:r>
      <w:r w:rsidR="00223107">
        <w:t xml:space="preserve"> have used </w:t>
      </w:r>
      <w:proofErr w:type="gramStart"/>
      <w:r w:rsidR="00223107">
        <w:t>close-readings</w:t>
      </w:r>
      <w:proofErr w:type="gramEnd"/>
      <w:r w:rsidR="00223107">
        <w:t xml:space="preserve"> to uncover biographies of peoples and objects. </w:t>
      </w:r>
      <w:r w:rsidR="00566E98">
        <w:t xml:space="preserve">The ability to transcribe and analyse large quantities of wills using </w:t>
      </w:r>
      <w:r w:rsidR="00794FF2">
        <w:t xml:space="preserve">AI and language modelling </w:t>
      </w:r>
      <w:proofErr w:type="gramStart"/>
      <w:r w:rsidR="00794FF2">
        <w:t xml:space="preserve">opens </w:t>
      </w:r>
      <w:r w:rsidR="000524A8">
        <w:t>up</w:t>
      </w:r>
      <w:proofErr w:type="gramEnd"/>
      <w:r w:rsidR="000524A8">
        <w:t xml:space="preserve"> </w:t>
      </w:r>
      <w:r w:rsidR="00794FF2">
        <w:t xml:space="preserve">new possibilities. </w:t>
      </w:r>
      <w:r w:rsidR="000524A8">
        <w:t xml:space="preserve">In this paper, I argue that </w:t>
      </w:r>
      <w:r w:rsidR="00223107">
        <w:t>wills</w:t>
      </w:r>
      <w:r w:rsidR="000524A8">
        <w:t xml:space="preserve"> can also be used to track </w:t>
      </w:r>
      <w:r w:rsidR="00DD24B5">
        <w:t xml:space="preserve">an </w:t>
      </w:r>
      <w:r w:rsidR="000524A8">
        <w:t xml:space="preserve">important aspect of </w:t>
      </w:r>
      <w:r w:rsidR="00DD24B5">
        <w:t xml:space="preserve">economic change: the storage of wealth and its transfer </w:t>
      </w:r>
      <w:r w:rsidR="00467FF4">
        <w:t xml:space="preserve">at death. </w:t>
      </w:r>
      <w:r w:rsidR="00A00CCA">
        <w:t xml:space="preserve">The </w:t>
      </w:r>
      <w:r w:rsidR="00202333">
        <w:t>Material Culture of Wills P</w:t>
      </w:r>
      <w:r w:rsidR="00A00CCA">
        <w:t>roject has transcribed and analysed 30,000 wills registered with England’s highest church court, the Prerogative Court of Canterbury</w:t>
      </w:r>
      <w:r w:rsidR="00B628BD">
        <w:t xml:space="preserve"> (PCC)</w:t>
      </w:r>
      <w:r w:rsidR="00A00CCA">
        <w:t xml:space="preserve">. Unlike probate inventories, which record the goods owned at death, wills record the decisions made by the deceased as they transferred their wealth and possessions to others, usually close family members. </w:t>
      </w:r>
      <w:r w:rsidR="006924F8">
        <w:t>Wills offer a unique means of understanding how large numbers of people behaved towards their economic assets, and how the relationship between wealth and material culture changed across a period of 250 years.</w:t>
      </w:r>
    </w:p>
    <w:p w14:paraId="0A8403B3" w14:textId="77777777" w:rsidR="00896D0E" w:rsidRDefault="006A76D1" w:rsidP="00896D0E">
      <w:r>
        <w:t>The project sampled a</w:t>
      </w:r>
      <w:r w:rsidR="00A00CCA">
        <w:t xml:space="preserve">t least 5000 wills from five equally spaced periods between the mid sixteenth century and the late eighteenth century, as shown in table 1. Wills were sampled by the volumes in which they were recorded, with </w:t>
      </w:r>
      <w:r w:rsidR="00DD5B59">
        <w:t xml:space="preserve">all </w:t>
      </w:r>
      <w:r w:rsidR="00A00CCA">
        <w:t xml:space="preserve">the wills </w:t>
      </w:r>
      <w:r w:rsidR="005D756F">
        <w:t xml:space="preserve">in the volumes chosen analysed </w:t>
      </w:r>
      <w:r w:rsidR="00C23732">
        <w:t xml:space="preserve">for each period </w:t>
      </w:r>
      <w:r w:rsidR="00B628BD">
        <w:t>(the earlier time periods are longer because fewer wills were registered).</w:t>
      </w:r>
      <w:r w:rsidR="00896D0E">
        <w:t xml:space="preserve"> </w:t>
      </w:r>
      <w:r w:rsidR="00896D0E">
        <w:t xml:space="preserve">The PCC registered wills made by people whose property lay in more than one bishopric in southern and midland England, or in both northern and southern England, or overseas. </w:t>
      </w:r>
      <w:proofErr w:type="gramStart"/>
      <w:r w:rsidR="00896D0E">
        <w:t>As a consequence</w:t>
      </w:r>
      <w:proofErr w:type="gramEnd"/>
      <w:r w:rsidR="00896D0E">
        <w:t>, the PCC registered wills for England’s wealthy elite such as London merchants and the gentry and aristocracy, but also for a wide range of other people, such as yeomen farmers and increasing numbers of mariners.</w:t>
      </w:r>
    </w:p>
    <w:p w14:paraId="4175FEAA" w14:textId="1BFEFC0A" w:rsidR="00A00CCA" w:rsidRDefault="00A00CCA" w:rsidP="00A00CCA">
      <w:r>
        <w:t>Table 1: The wills sample and gender of testators</w:t>
      </w:r>
    </w:p>
    <w:tbl>
      <w:tblPr>
        <w:tblStyle w:val="TableGrid"/>
        <w:tblW w:w="7042" w:type="dxa"/>
        <w:tblLook w:val="0420" w:firstRow="1" w:lastRow="0" w:firstColumn="0" w:lastColumn="0" w:noHBand="0" w:noVBand="1"/>
      </w:tblPr>
      <w:tblGrid>
        <w:gridCol w:w="1271"/>
        <w:gridCol w:w="1539"/>
        <w:gridCol w:w="1539"/>
        <w:gridCol w:w="1539"/>
        <w:gridCol w:w="1154"/>
      </w:tblGrid>
      <w:tr w:rsidR="00A00CCA" w:rsidRPr="00B9389E" w14:paraId="406AD225" w14:textId="77777777" w:rsidTr="00A00CCA">
        <w:trPr>
          <w:trHeight w:val="454"/>
        </w:trPr>
        <w:tc>
          <w:tcPr>
            <w:tcW w:w="1271" w:type="dxa"/>
            <w:hideMark/>
          </w:tcPr>
          <w:p w14:paraId="37AD7DA0" w14:textId="77777777" w:rsidR="00A00CCA" w:rsidRPr="00B9389E" w:rsidRDefault="00A00CCA" w:rsidP="00A00CCA">
            <w:r w:rsidRPr="00B9389E">
              <w:t>Period</w:t>
            </w:r>
          </w:p>
        </w:tc>
        <w:tc>
          <w:tcPr>
            <w:tcW w:w="1539" w:type="dxa"/>
          </w:tcPr>
          <w:p w14:paraId="2E328300" w14:textId="22926D7B" w:rsidR="00A00CCA" w:rsidRPr="00B9389E" w:rsidRDefault="00A00CCA" w:rsidP="00A00CCA">
            <w:r>
              <w:t xml:space="preserve">Total </w:t>
            </w:r>
          </w:p>
        </w:tc>
        <w:tc>
          <w:tcPr>
            <w:tcW w:w="1539" w:type="dxa"/>
          </w:tcPr>
          <w:p w14:paraId="4362FB2F" w14:textId="4D426209" w:rsidR="00A00CCA" w:rsidRPr="00B9389E" w:rsidRDefault="00A00CCA" w:rsidP="00A00CCA">
            <w:r w:rsidRPr="00B9389E">
              <w:t>Male</w:t>
            </w:r>
          </w:p>
        </w:tc>
        <w:tc>
          <w:tcPr>
            <w:tcW w:w="1539" w:type="dxa"/>
            <w:hideMark/>
          </w:tcPr>
          <w:p w14:paraId="15B921C5" w14:textId="526D3A50" w:rsidR="00A00CCA" w:rsidRPr="00B9389E" w:rsidRDefault="00A00CCA" w:rsidP="00A00CCA">
            <w:r w:rsidRPr="00B9389E">
              <w:t>Female</w:t>
            </w:r>
          </w:p>
        </w:tc>
        <w:tc>
          <w:tcPr>
            <w:tcW w:w="1154" w:type="dxa"/>
            <w:hideMark/>
          </w:tcPr>
          <w:p w14:paraId="7A513058" w14:textId="4D5654F4" w:rsidR="00A00CCA" w:rsidRPr="00B9389E" w:rsidRDefault="00A00CCA" w:rsidP="00A00CCA">
            <w:r>
              <w:t xml:space="preserve">F </w:t>
            </w:r>
            <w:r w:rsidRPr="00B9389E">
              <w:t>(%)</w:t>
            </w:r>
          </w:p>
        </w:tc>
      </w:tr>
      <w:tr w:rsidR="00A00CCA" w:rsidRPr="00B9389E" w14:paraId="5E79A581" w14:textId="77777777" w:rsidTr="00A00CCA">
        <w:trPr>
          <w:trHeight w:val="454"/>
        </w:trPr>
        <w:tc>
          <w:tcPr>
            <w:tcW w:w="1271" w:type="dxa"/>
            <w:hideMark/>
          </w:tcPr>
          <w:p w14:paraId="5D0CBE6A" w14:textId="77777777" w:rsidR="00A00CCA" w:rsidRPr="00B9389E" w:rsidRDefault="00A00CCA" w:rsidP="00A00CCA">
            <w:r w:rsidRPr="00B9389E">
              <w:t>1538-52</w:t>
            </w:r>
          </w:p>
        </w:tc>
        <w:tc>
          <w:tcPr>
            <w:tcW w:w="1539" w:type="dxa"/>
          </w:tcPr>
          <w:p w14:paraId="1FDBCE6A" w14:textId="667ECEA3" w:rsidR="00A00CCA" w:rsidRPr="00B9389E" w:rsidRDefault="00A00CCA" w:rsidP="00A00CCA">
            <w:r>
              <w:t>5367</w:t>
            </w:r>
          </w:p>
        </w:tc>
        <w:tc>
          <w:tcPr>
            <w:tcW w:w="1539" w:type="dxa"/>
          </w:tcPr>
          <w:p w14:paraId="26E5E292" w14:textId="06B7D774" w:rsidR="00A00CCA" w:rsidRPr="00B9389E" w:rsidRDefault="00A00CCA" w:rsidP="00A00CCA">
            <w:r w:rsidRPr="00B9389E">
              <w:t>4,875</w:t>
            </w:r>
          </w:p>
        </w:tc>
        <w:tc>
          <w:tcPr>
            <w:tcW w:w="1539" w:type="dxa"/>
            <w:hideMark/>
          </w:tcPr>
          <w:p w14:paraId="4CF1D4B4" w14:textId="474B1809" w:rsidR="00A00CCA" w:rsidRPr="00B9389E" w:rsidRDefault="00A00CCA" w:rsidP="00A00CCA">
            <w:r w:rsidRPr="00B9389E">
              <w:t>492</w:t>
            </w:r>
          </w:p>
        </w:tc>
        <w:tc>
          <w:tcPr>
            <w:tcW w:w="1154" w:type="dxa"/>
            <w:hideMark/>
          </w:tcPr>
          <w:p w14:paraId="7479E251" w14:textId="77777777" w:rsidR="00A00CCA" w:rsidRPr="00B9389E" w:rsidRDefault="00A00CCA" w:rsidP="00A00CCA">
            <w:r w:rsidRPr="00B9389E">
              <w:t>9</w:t>
            </w:r>
          </w:p>
        </w:tc>
      </w:tr>
      <w:tr w:rsidR="00A00CCA" w:rsidRPr="00B9389E" w14:paraId="5B50913F" w14:textId="77777777" w:rsidTr="00A00CCA">
        <w:trPr>
          <w:trHeight w:val="454"/>
        </w:trPr>
        <w:tc>
          <w:tcPr>
            <w:tcW w:w="1271" w:type="dxa"/>
            <w:hideMark/>
          </w:tcPr>
          <w:p w14:paraId="7BCF3042" w14:textId="77777777" w:rsidR="00A00CCA" w:rsidRPr="00B9389E" w:rsidRDefault="00A00CCA" w:rsidP="00A00CCA">
            <w:r w:rsidRPr="00B9389E">
              <w:t>1604-08</w:t>
            </w:r>
          </w:p>
        </w:tc>
        <w:tc>
          <w:tcPr>
            <w:tcW w:w="1539" w:type="dxa"/>
          </w:tcPr>
          <w:p w14:paraId="3370E546" w14:textId="29CA43F1" w:rsidR="00A00CCA" w:rsidRPr="00B9389E" w:rsidRDefault="00A00CCA" w:rsidP="00A00CCA">
            <w:r>
              <w:t>5031</w:t>
            </w:r>
          </w:p>
        </w:tc>
        <w:tc>
          <w:tcPr>
            <w:tcW w:w="1539" w:type="dxa"/>
          </w:tcPr>
          <w:p w14:paraId="7976AA52" w14:textId="55D12AFF" w:rsidR="00A00CCA" w:rsidRPr="00B9389E" w:rsidRDefault="00A00CCA" w:rsidP="00A00CCA">
            <w:r w:rsidRPr="00B9389E">
              <w:t>4,483</w:t>
            </w:r>
          </w:p>
        </w:tc>
        <w:tc>
          <w:tcPr>
            <w:tcW w:w="1539" w:type="dxa"/>
            <w:hideMark/>
          </w:tcPr>
          <w:p w14:paraId="567B517B" w14:textId="5C31B196" w:rsidR="00A00CCA" w:rsidRPr="00B9389E" w:rsidRDefault="00A00CCA" w:rsidP="00A00CCA">
            <w:r w:rsidRPr="00B9389E">
              <w:t>548</w:t>
            </w:r>
          </w:p>
        </w:tc>
        <w:tc>
          <w:tcPr>
            <w:tcW w:w="1154" w:type="dxa"/>
            <w:hideMark/>
          </w:tcPr>
          <w:p w14:paraId="53F1BF1D" w14:textId="77777777" w:rsidR="00A00CCA" w:rsidRPr="00B9389E" w:rsidRDefault="00A00CCA" w:rsidP="00A00CCA">
            <w:r w:rsidRPr="00B9389E">
              <w:t>11</w:t>
            </w:r>
          </w:p>
        </w:tc>
      </w:tr>
      <w:tr w:rsidR="00A00CCA" w:rsidRPr="00B9389E" w14:paraId="5F28841C" w14:textId="77777777" w:rsidTr="00A00CCA">
        <w:trPr>
          <w:trHeight w:val="454"/>
        </w:trPr>
        <w:tc>
          <w:tcPr>
            <w:tcW w:w="1271" w:type="dxa"/>
            <w:hideMark/>
          </w:tcPr>
          <w:p w14:paraId="3CE0FA33" w14:textId="77777777" w:rsidR="00A00CCA" w:rsidRPr="00B9389E" w:rsidRDefault="00A00CCA" w:rsidP="00A00CCA">
            <w:r w:rsidRPr="00B9389E">
              <w:t>1664-6</w:t>
            </w:r>
          </w:p>
        </w:tc>
        <w:tc>
          <w:tcPr>
            <w:tcW w:w="1539" w:type="dxa"/>
          </w:tcPr>
          <w:p w14:paraId="0127F121" w14:textId="4F9D50A3" w:rsidR="00A00CCA" w:rsidRPr="00B9389E" w:rsidRDefault="00A00CCA" w:rsidP="00A00CCA">
            <w:r>
              <w:t>5563</w:t>
            </w:r>
          </w:p>
        </w:tc>
        <w:tc>
          <w:tcPr>
            <w:tcW w:w="1539" w:type="dxa"/>
          </w:tcPr>
          <w:p w14:paraId="01819CA5" w14:textId="546B58C5" w:rsidR="00A00CCA" w:rsidRPr="00B9389E" w:rsidRDefault="00A00CCA" w:rsidP="00A00CCA">
            <w:r w:rsidRPr="00B9389E">
              <w:t>4,489</w:t>
            </w:r>
          </w:p>
        </w:tc>
        <w:tc>
          <w:tcPr>
            <w:tcW w:w="1539" w:type="dxa"/>
            <w:hideMark/>
          </w:tcPr>
          <w:p w14:paraId="1DEB47FA" w14:textId="5870FC08" w:rsidR="00A00CCA" w:rsidRPr="00B9389E" w:rsidRDefault="00A00CCA" w:rsidP="00A00CCA">
            <w:r w:rsidRPr="00B9389E">
              <w:t>1,074</w:t>
            </w:r>
          </w:p>
        </w:tc>
        <w:tc>
          <w:tcPr>
            <w:tcW w:w="1154" w:type="dxa"/>
            <w:hideMark/>
          </w:tcPr>
          <w:p w14:paraId="6635064E" w14:textId="77777777" w:rsidR="00A00CCA" w:rsidRPr="00B9389E" w:rsidRDefault="00A00CCA" w:rsidP="00A00CCA">
            <w:r w:rsidRPr="00B9389E">
              <w:t>19</w:t>
            </w:r>
          </w:p>
        </w:tc>
      </w:tr>
      <w:tr w:rsidR="00A00CCA" w:rsidRPr="00B9389E" w14:paraId="0B2FCDB0" w14:textId="77777777" w:rsidTr="00A00CCA">
        <w:trPr>
          <w:trHeight w:val="454"/>
        </w:trPr>
        <w:tc>
          <w:tcPr>
            <w:tcW w:w="1271" w:type="dxa"/>
            <w:hideMark/>
          </w:tcPr>
          <w:p w14:paraId="30611E95" w14:textId="77777777" w:rsidR="00A00CCA" w:rsidRPr="00B9389E" w:rsidRDefault="00A00CCA" w:rsidP="00A00CCA">
            <w:r w:rsidRPr="00B9389E">
              <w:t>1725-6</w:t>
            </w:r>
          </w:p>
        </w:tc>
        <w:tc>
          <w:tcPr>
            <w:tcW w:w="1539" w:type="dxa"/>
          </w:tcPr>
          <w:p w14:paraId="4517DC57" w14:textId="612B601E" w:rsidR="00A00CCA" w:rsidRPr="00B9389E" w:rsidRDefault="00A00CCA" w:rsidP="00A00CCA">
            <w:r>
              <w:t>4992</w:t>
            </w:r>
          </w:p>
        </w:tc>
        <w:tc>
          <w:tcPr>
            <w:tcW w:w="1539" w:type="dxa"/>
          </w:tcPr>
          <w:p w14:paraId="4A290027" w14:textId="35395921" w:rsidR="00A00CCA" w:rsidRPr="00B9389E" w:rsidRDefault="00A00CCA" w:rsidP="00A00CCA">
            <w:r w:rsidRPr="00B9389E">
              <w:t>3,797</w:t>
            </w:r>
          </w:p>
        </w:tc>
        <w:tc>
          <w:tcPr>
            <w:tcW w:w="1539" w:type="dxa"/>
            <w:hideMark/>
          </w:tcPr>
          <w:p w14:paraId="18DF1000" w14:textId="64632255" w:rsidR="00A00CCA" w:rsidRPr="00B9389E" w:rsidRDefault="00A00CCA" w:rsidP="00A00CCA">
            <w:r w:rsidRPr="00B9389E">
              <w:t>1,195</w:t>
            </w:r>
          </w:p>
        </w:tc>
        <w:tc>
          <w:tcPr>
            <w:tcW w:w="1154" w:type="dxa"/>
            <w:hideMark/>
          </w:tcPr>
          <w:p w14:paraId="4075899F" w14:textId="77777777" w:rsidR="00A00CCA" w:rsidRPr="00B9389E" w:rsidRDefault="00A00CCA" w:rsidP="00A00CCA">
            <w:r w:rsidRPr="00B9389E">
              <w:t>24</w:t>
            </w:r>
          </w:p>
        </w:tc>
      </w:tr>
      <w:tr w:rsidR="00A00CCA" w:rsidRPr="00B9389E" w14:paraId="0BE181A1" w14:textId="77777777" w:rsidTr="00A00CCA">
        <w:trPr>
          <w:trHeight w:val="454"/>
        </w:trPr>
        <w:tc>
          <w:tcPr>
            <w:tcW w:w="1271" w:type="dxa"/>
            <w:hideMark/>
          </w:tcPr>
          <w:p w14:paraId="43F2976E" w14:textId="77777777" w:rsidR="00A00CCA" w:rsidRPr="00B9389E" w:rsidRDefault="00A00CCA" w:rsidP="00A00CCA">
            <w:r w:rsidRPr="00B9389E">
              <w:t>1785-6</w:t>
            </w:r>
          </w:p>
        </w:tc>
        <w:tc>
          <w:tcPr>
            <w:tcW w:w="1539" w:type="dxa"/>
          </w:tcPr>
          <w:p w14:paraId="4D958C1E" w14:textId="5813561C" w:rsidR="00A00CCA" w:rsidRPr="00B9389E" w:rsidRDefault="00A00CCA" w:rsidP="00A00CCA">
            <w:r>
              <w:t>9220</w:t>
            </w:r>
          </w:p>
        </w:tc>
        <w:tc>
          <w:tcPr>
            <w:tcW w:w="1539" w:type="dxa"/>
          </w:tcPr>
          <w:p w14:paraId="395A6708" w14:textId="741D1F7A" w:rsidR="00A00CCA" w:rsidRPr="00B9389E" w:rsidRDefault="00A00CCA" w:rsidP="00A00CCA">
            <w:r w:rsidRPr="00B9389E">
              <w:t>6,755</w:t>
            </w:r>
          </w:p>
        </w:tc>
        <w:tc>
          <w:tcPr>
            <w:tcW w:w="1539" w:type="dxa"/>
            <w:hideMark/>
          </w:tcPr>
          <w:p w14:paraId="4CA828AB" w14:textId="21F7C557" w:rsidR="00A00CCA" w:rsidRPr="00B9389E" w:rsidRDefault="00A00CCA" w:rsidP="00A00CCA">
            <w:r w:rsidRPr="00B9389E">
              <w:t>2,465</w:t>
            </w:r>
          </w:p>
        </w:tc>
        <w:tc>
          <w:tcPr>
            <w:tcW w:w="1154" w:type="dxa"/>
            <w:hideMark/>
          </w:tcPr>
          <w:p w14:paraId="6A2D1836" w14:textId="77777777" w:rsidR="00A00CCA" w:rsidRPr="00B9389E" w:rsidRDefault="00A00CCA" w:rsidP="00A00CCA">
            <w:r w:rsidRPr="00B9389E">
              <w:t>27</w:t>
            </w:r>
          </w:p>
        </w:tc>
      </w:tr>
      <w:tr w:rsidR="00A00CCA" w:rsidRPr="00B9389E" w14:paraId="2F7F5A08" w14:textId="77777777" w:rsidTr="00A00CCA">
        <w:trPr>
          <w:trHeight w:val="454"/>
        </w:trPr>
        <w:tc>
          <w:tcPr>
            <w:tcW w:w="1271" w:type="dxa"/>
            <w:hideMark/>
          </w:tcPr>
          <w:p w14:paraId="6536BF20" w14:textId="77777777" w:rsidR="00A00CCA" w:rsidRPr="00B9389E" w:rsidRDefault="00A00CCA" w:rsidP="00A00CCA">
            <w:r w:rsidRPr="00B9389E">
              <w:t>Total</w:t>
            </w:r>
          </w:p>
        </w:tc>
        <w:tc>
          <w:tcPr>
            <w:tcW w:w="1539" w:type="dxa"/>
          </w:tcPr>
          <w:p w14:paraId="4C862EBA" w14:textId="78DB49A2" w:rsidR="00A00CCA" w:rsidRPr="00B9389E" w:rsidRDefault="00A00CCA" w:rsidP="00A00CCA">
            <w:r>
              <w:t>30173</w:t>
            </w:r>
          </w:p>
        </w:tc>
        <w:tc>
          <w:tcPr>
            <w:tcW w:w="1539" w:type="dxa"/>
          </w:tcPr>
          <w:p w14:paraId="25A419F4" w14:textId="1C4D7905" w:rsidR="00A00CCA" w:rsidRPr="00B9389E" w:rsidRDefault="00A00CCA" w:rsidP="00A00CCA">
            <w:r w:rsidRPr="00B9389E">
              <w:t>24,399</w:t>
            </w:r>
          </w:p>
        </w:tc>
        <w:tc>
          <w:tcPr>
            <w:tcW w:w="1539" w:type="dxa"/>
            <w:hideMark/>
          </w:tcPr>
          <w:p w14:paraId="004F0CF7" w14:textId="5C2F823C" w:rsidR="00A00CCA" w:rsidRPr="00B9389E" w:rsidRDefault="00A00CCA" w:rsidP="00A00CCA">
            <w:r w:rsidRPr="00B9389E">
              <w:t>5,774</w:t>
            </w:r>
          </w:p>
        </w:tc>
        <w:tc>
          <w:tcPr>
            <w:tcW w:w="1154" w:type="dxa"/>
            <w:hideMark/>
          </w:tcPr>
          <w:p w14:paraId="73B10724" w14:textId="77777777" w:rsidR="00A00CCA" w:rsidRPr="00B9389E" w:rsidRDefault="00A00CCA" w:rsidP="00A00CCA">
            <w:r w:rsidRPr="00B9389E">
              <w:t>19</w:t>
            </w:r>
          </w:p>
        </w:tc>
      </w:tr>
    </w:tbl>
    <w:p w14:paraId="4E2D3740" w14:textId="77777777" w:rsidR="00A00CCA" w:rsidRDefault="00A00CCA" w:rsidP="00A00CCA"/>
    <w:p w14:paraId="076AF306" w14:textId="3C3DA9A7" w:rsidR="00450E9E" w:rsidRDefault="006A188A" w:rsidP="00FC1685">
      <w:r>
        <w:t xml:space="preserve">Figure 1 </w:t>
      </w:r>
      <w:r w:rsidR="009C63ED">
        <w:t>summarises</w:t>
      </w:r>
      <w:r>
        <w:t xml:space="preserve"> of how </w:t>
      </w:r>
      <w:r w:rsidR="009C63ED">
        <w:t xml:space="preserve">the broad categories of </w:t>
      </w:r>
      <w:r>
        <w:t xml:space="preserve">bequests changed over time. </w:t>
      </w:r>
      <w:r w:rsidR="008E1E9A">
        <w:t xml:space="preserve">It must be remembered that </w:t>
      </w:r>
      <w:r w:rsidR="009453CC">
        <w:t>wills do not document all the ways in wealth was transferred</w:t>
      </w:r>
      <w:r w:rsidR="00493E9B">
        <w:t xml:space="preserve"> at death</w:t>
      </w:r>
      <w:r w:rsidR="009453CC">
        <w:t xml:space="preserve">. </w:t>
      </w:r>
      <w:r w:rsidR="00284EF3">
        <w:t>The recording of real property is particularly unreliable, because there were</w:t>
      </w:r>
      <w:r w:rsidR="00493E9B">
        <w:t xml:space="preserve"> many other </w:t>
      </w:r>
      <w:r w:rsidR="009C386B">
        <w:t>ways</w:t>
      </w:r>
      <w:r w:rsidR="00493E9B">
        <w:t xml:space="preserve"> of transferring</w:t>
      </w:r>
      <w:r w:rsidR="009453CC">
        <w:t xml:space="preserve"> real property</w:t>
      </w:r>
      <w:r w:rsidR="009C386B">
        <w:t xml:space="preserve"> too complex to describe here</w:t>
      </w:r>
      <w:r w:rsidR="007A223D">
        <w:t>.</w:t>
      </w:r>
      <w:r w:rsidR="00284EF3">
        <w:t xml:space="preserve"> </w:t>
      </w:r>
      <w:r w:rsidR="00196008">
        <w:t>W</w:t>
      </w:r>
      <w:r w:rsidR="001D235E">
        <w:t>ills provide a better record of how moveable goods and financial assets were transferred</w:t>
      </w:r>
      <w:r w:rsidR="003F1C59">
        <w:t xml:space="preserve">. </w:t>
      </w:r>
      <w:r w:rsidR="00722D5E">
        <w:t xml:space="preserve">These types of bequests show a </w:t>
      </w:r>
      <w:r w:rsidR="00196008">
        <w:t xml:space="preserve">distinct </w:t>
      </w:r>
      <w:r w:rsidR="00722D5E">
        <w:lastRenderedPageBreak/>
        <w:t>pattern of change</w:t>
      </w:r>
      <w:r w:rsidR="00196008">
        <w:t xml:space="preserve"> over time</w:t>
      </w:r>
      <w:r w:rsidR="00722D5E">
        <w:t>.</w:t>
      </w:r>
      <w:r w:rsidR="00F545A1">
        <w:t xml:space="preserve"> </w:t>
      </w:r>
      <w:r w:rsidR="00D259A6">
        <w:t>B</w:t>
      </w:r>
      <w:r w:rsidR="00C7663B">
        <w:t>equests of speci</w:t>
      </w:r>
      <w:r w:rsidR="00B85C16">
        <w:t xml:space="preserve">fic </w:t>
      </w:r>
      <w:r w:rsidR="0048727A">
        <w:t xml:space="preserve">or itemised </w:t>
      </w:r>
      <w:r w:rsidR="00B85C16">
        <w:t>goods</w:t>
      </w:r>
      <w:r w:rsidR="0048727A">
        <w:t xml:space="preserve"> </w:t>
      </w:r>
      <w:r w:rsidR="00B85C16">
        <w:t>declined</w:t>
      </w:r>
      <w:r w:rsidR="00175C77">
        <w:t>. Bequests of cash first rose</w:t>
      </w:r>
      <w:r w:rsidR="005B5971">
        <w:t xml:space="preserve"> between the sixteenth and early seventeenth century, before gradually declining.</w:t>
      </w:r>
      <w:r w:rsidR="003E665D">
        <w:t xml:space="preserve"> </w:t>
      </w:r>
      <w:r w:rsidR="00E3742C">
        <w:t>B</w:t>
      </w:r>
      <w:r w:rsidR="002F723D">
        <w:t>equests</w:t>
      </w:r>
      <w:r w:rsidR="004C7599">
        <w:t xml:space="preserve"> involving financial devices</w:t>
      </w:r>
      <w:r w:rsidR="00E3742C">
        <w:t xml:space="preserve"> </w:t>
      </w:r>
      <w:r w:rsidR="00E04BA6">
        <w:t xml:space="preserve">increased over time, </w:t>
      </w:r>
      <w:r w:rsidR="00E47A35">
        <w:t xml:space="preserve">gradually in the seventeenth century and then rapidly </w:t>
      </w:r>
      <w:r w:rsidR="00E04BA6">
        <w:t>in the eighteenth century</w:t>
      </w:r>
      <w:r w:rsidR="004C7599">
        <w:t>.</w:t>
      </w:r>
      <w:r w:rsidR="00E04BA6">
        <w:t xml:space="preserve"> </w:t>
      </w:r>
    </w:p>
    <w:p w14:paraId="33E6A086" w14:textId="77777777" w:rsidR="006A188A" w:rsidRDefault="006A188A" w:rsidP="00A00CCA"/>
    <w:p w14:paraId="3BFB28DF" w14:textId="7B65C634" w:rsidR="006A188A" w:rsidRDefault="006A188A" w:rsidP="00A00CCA">
      <w:r>
        <w:rPr>
          <w:noProof/>
        </w:rPr>
        <w:drawing>
          <wp:inline distT="0" distB="0" distL="0" distR="0" wp14:anchorId="0A71BB7F" wp14:editId="29D8A16A">
            <wp:extent cx="4572000" cy="2743200"/>
            <wp:effectExtent l="0" t="0" r="0" b="0"/>
            <wp:docPr id="483886889" name="Chart 1">
              <a:extLst xmlns:a="http://schemas.openxmlformats.org/drawingml/2006/main">
                <a:ext uri="{FF2B5EF4-FFF2-40B4-BE49-F238E27FC236}">
                  <a16:creationId xmlns:a16="http://schemas.microsoft.com/office/drawing/2014/main" id="{72790BB4-892B-5539-0EAF-0E72E90B4A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34A70D57" w14:textId="77777777" w:rsidR="00896D0E" w:rsidRDefault="00896D0E" w:rsidP="00FC1685"/>
    <w:p w14:paraId="27CF75C3" w14:textId="7D1BF586" w:rsidR="00FC1685" w:rsidRDefault="00FC1685" w:rsidP="00FC1685">
      <w:r>
        <w:t>Figures 2 look</w:t>
      </w:r>
      <w:r w:rsidR="00480BF8">
        <w:t>s</w:t>
      </w:r>
      <w:r>
        <w:t xml:space="preserve"> more closely at the changes in specific goods. </w:t>
      </w:r>
      <w:r w:rsidR="00F86C5A">
        <w:t>The decline of bequests of specific goods was steep and significant.</w:t>
      </w:r>
      <w:r w:rsidR="00FC4610">
        <w:t xml:space="preserve"> This type of bequest declined between the sixteenth and early seventeenth centuries, and then even more steeply </w:t>
      </w:r>
      <w:r w:rsidR="009A4149">
        <w:t xml:space="preserve">between the early </w:t>
      </w:r>
      <w:r w:rsidR="00E8131A">
        <w:t>seventeenth century</w:t>
      </w:r>
      <w:r w:rsidR="00F86C5A">
        <w:t xml:space="preserve"> </w:t>
      </w:r>
      <w:r w:rsidR="00E8131A">
        <w:t xml:space="preserve">and the 1660s; thereafter these bequests levelled off at their new lower level. </w:t>
      </w:r>
      <w:r w:rsidR="00442491">
        <w:t>A</w:t>
      </w:r>
      <w:r w:rsidR="00F86C5A">
        <w:t>ll the broad categories of itemized goods remained present</w:t>
      </w:r>
      <w:r w:rsidR="00442491">
        <w:t xml:space="preserve"> throughout the whole period, but they occurred less commonly. </w:t>
      </w:r>
      <w:r w:rsidR="0040211C">
        <w:t>This was particularly the case of productive goods (</w:t>
      </w:r>
      <w:r w:rsidR="001C6841">
        <w:t>farm equipment, livestock, tools), household goods (furniture, kitch</w:t>
      </w:r>
      <w:r w:rsidR="00927591">
        <w:t>en and dining ware, domestic textiles)</w:t>
      </w:r>
      <w:r w:rsidR="00F06D26">
        <w:t xml:space="preserve">, and clothing. </w:t>
      </w:r>
      <w:r w:rsidR="00577AFE">
        <w:t>Only two sub</w:t>
      </w:r>
      <w:r w:rsidR="00F06D26">
        <w:t>categories</w:t>
      </w:r>
      <w:r w:rsidR="00220B3F">
        <w:t xml:space="preserve"> bucked this trend: jewellery and books</w:t>
      </w:r>
      <w:r w:rsidR="00577AFE">
        <w:t>.</w:t>
      </w:r>
    </w:p>
    <w:p w14:paraId="33F34E8D" w14:textId="470779C4" w:rsidR="00DE7C6C" w:rsidRDefault="00582179" w:rsidP="00A00CCA">
      <w:r>
        <w:rPr>
          <w:noProof/>
        </w:rPr>
        <w:lastRenderedPageBreak/>
        <w:drawing>
          <wp:inline distT="0" distB="0" distL="0" distR="0" wp14:anchorId="04D740C7" wp14:editId="50DCCD56">
            <wp:extent cx="4572000" cy="3855714"/>
            <wp:effectExtent l="0" t="0" r="0" b="12065"/>
            <wp:docPr id="317284576" name="Chart 1">
              <a:extLst xmlns:a="http://schemas.openxmlformats.org/drawingml/2006/main">
                <a:ext uri="{FF2B5EF4-FFF2-40B4-BE49-F238E27FC236}">
                  <a16:creationId xmlns:a16="http://schemas.microsoft.com/office/drawing/2014/main" id="{EFE397B2-7D50-7A70-C01A-419DED46B4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C269737" w14:textId="1F8D87C1" w:rsidR="00480BF8" w:rsidRDefault="004C2E28" w:rsidP="00A00CCA">
      <w:r>
        <w:t>Figure</w:t>
      </w:r>
      <w:r w:rsidR="00E8131A">
        <w:t xml:space="preserve"> 3 </w:t>
      </w:r>
      <w:r w:rsidR="008A1D78">
        <w:t xml:space="preserve">shows the change in the main types of financial bequests (other than cash). </w:t>
      </w:r>
      <w:r w:rsidR="00B146E6">
        <w:t>These are identified according to their description within wills</w:t>
      </w:r>
      <w:r w:rsidR="00C248FB">
        <w:t xml:space="preserve">. </w:t>
      </w:r>
      <w:proofErr w:type="gramStart"/>
      <w:r w:rsidR="00B40EEC">
        <w:t>So</w:t>
      </w:r>
      <w:proofErr w:type="gramEnd"/>
      <w:r w:rsidR="00B40EEC">
        <w:t xml:space="preserve"> for instance, t</w:t>
      </w:r>
      <w:r w:rsidR="00C248FB">
        <w:t xml:space="preserve">here may have been relatively little difference between </w:t>
      </w:r>
      <w:r w:rsidR="00B40EEC">
        <w:t>rents, yearly payments, and annuities in many cases, but the fact they are described differently is taken to be significant.</w:t>
      </w:r>
      <w:r w:rsidR="005077C1">
        <w:t xml:space="preserve"> Between the sixteenth and early eighteenth century there was an uneven rise in these financial devices</w:t>
      </w:r>
      <w:r w:rsidR="002E0397">
        <w:t xml:space="preserve">, followed by a rapid increase during the eighteenth century. </w:t>
      </w:r>
      <w:r w:rsidR="00531329">
        <w:t>It is also notable that the range of devices increased over time</w:t>
      </w:r>
      <w:r w:rsidR="008625CE">
        <w:t xml:space="preserve">. In the first two period there are five main types: </w:t>
      </w:r>
      <w:r w:rsidR="003D70FD">
        <w:t xml:space="preserve">rent, yearly payments, profits, annuities and interest. </w:t>
      </w:r>
      <w:r w:rsidR="00093494">
        <w:t>Securities appear in the 1660s</w:t>
      </w:r>
      <w:r w:rsidR="001766AB">
        <w:t>, and stock and dividends by the 1720s</w:t>
      </w:r>
      <w:r w:rsidR="00C93411">
        <w:t xml:space="preserve">. By the 1780s use is being made of all these </w:t>
      </w:r>
      <w:r w:rsidR="009671D0">
        <w:t>types</w:t>
      </w:r>
      <w:r w:rsidR="00104F0D">
        <w:t xml:space="preserve"> of </w:t>
      </w:r>
      <w:proofErr w:type="gramStart"/>
      <w:r w:rsidR="00104F0D">
        <w:t>device</w:t>
      </w:r>
      <w:proofErr w:type="gramEnd"/>
      <w:r w:rsidR="00104F0D">
        <w:t>, although bequests expressed in cash remain more common</w:t>
      </w:r>
      <w:r w:rsidR="009E23A5">
        <w:t>.</w:t>
      </w:r>
    </w:p>
    <w:p w14:paraId="3C9B3816" w14:textId="45EA84E5" w:rsidR="00582179" w:rsidRDefault="003928C0" w:rsidP="00A00CCA">
      <w:r>
        <w:rPr>
          <w:noProof/>
        </w:rPr>
        <w:lastRenderedPageBreak/>
        <w:drawing>
          <wp:inline distT="0" distB="0" distL="0" distR="0" wp14:anchorId="50F924A6" wp14:editId="00FFDDE2">
            <wp:extent cx="5191125" cy="3405187"/>
            <wp:effectExtent l="0" t="0" r="9525" b="5080"/>
            <wp:docPr id="924061141" name="Chart 1">
              <a:extLst xmlns:a="http://schemas.openxmlformats.org/drawingml/2006/main">
                <a:ext uri="{FF2B5EF4-FFF2-40B4-BE49-F238E27FC236}">
                  <a16:creationId xmlns:a16="http://schemas.microsoft.com/office/drawing/2014/main" id="{25D6E29C-6555-C3B7-6966-084FBA72A5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4FAF92F" w14:textId="77777777" w:rsidR="00D528BF" w:rsidRDefault="00D528BF" w:rsidP="00A00CCA"/>
    <w:p w14:paraId="476C7AAC" w14:textId="007C9EA9" w:rsidR="00A00CCA" w:rsidRDefault="00D40CE5" w:rsidP="00A00CCA">
      <w:r>
        <w:t xml:space="preserve">The study of bequests in wills </w:t>
      </w:r>
      <w:r w:rsidR="0027590C">
        <w:t xml:space="preserve">over the long term </w:t>
      </w:r>
      <w:r>
        <w:t>offer a fresh perspective on both the consumer revolution</w:t>
      </w:r>
      <w:r w:rsidR="0027590C">
        <w:t xml:space="preserve"> and financial revolution of the eighteenth century. </w:t>
      </w:r>
      <w:r w:rsidR="00E817F9">
        <w:t xml:space="preserve">The changes brought about the financial revolution took some time to filter into </w:t>
      </w:r>
      <w:proofErr w:type="gramStart"/>
      <w:r w:rsidR="00E817F9">
        <w:t>the majority of</w:t>
      </w:r>
      <w:proofErr w:type="gramEnd"/>
      <w:r w:rsidR="00E817F9">
        <w:t xml:space="preserve"> wills, but the consequences are evident by the late eighteenth century. </w:t>
      </w:r>
      <w:r w:rsidR="00A75AAB">
        <w:t>During the period of ‘consumer revolution’ from the late seventeenth century onwards people became less likely to bequeath itemised goods</w:t>
      </w:r>
      <w:r w:rsidR="006365B0">
        <w:t xml:space="preserve"> in their wills. </w:t>
      </w:r>
      <w:r w:rsidR="001E0E98">
        <w:t xml:space="preserve">The patterns of change over time suggest </w:t>
      </w:r>
      <w:r w:rsidR="00BD73FC">
        <w:t xml:space="preserve">that in the sixteenth century, goods </w:t>
      </w:r>
      <w:r w:rsidR="003943A7">
        <w:t>were important not only as cultural expressions</w:t>
      </w:r>
      <w:r w:rsidR="00012CAF">
        <w:t xml:space="preserve"> of various kinds, but also as a means of storing </w:t>
      </w:r>
      <w:r w:rsidR="003B3616">
        <w:t xml:space="preserve">and transferring </w:t>
      </w:r>
      <w:r w:rsidR="00012CAF">
        <w:t>wealth.</w:t>
      </w:r>
      <w:r w:rsidR="003B3616">
        <w:t xml:space="preserve"> </w:t>
      </w:r>
      <w:r w:rsidR="00976D2F">
        <w:t xml:space="preserve">By the time of the supposed consumer revolution, </w:t>
      </w:r>
      <w:r w:rsidR="00687F65">
        <w:t>this second function was greatly reduced</w:t>
      </w:r>
      <w:r w:rsidR="00776DBE">
        <w:t>.</w:t>
      </w:r>
      <w:r w:rsidR="00136606">
        <w:t xml:space="preserve"> </w:t>
      </w:r>
      <w:r w:rsidR="00960245">
        <w:t>Economic historians could fruitfully pay more attention to the proliferation of moveable goods in the late medieval period</w:t>
      </w:r>
      <w:r w:rsidR="007905D4">
        <w:t xml:space="preserve"> and the economic role they played in </w:t>
      </w:r>
      <w:r w:rsidR="00761636">
        <w:t xml:space="preserve">storing wealth before being eclipsed first by the increased use of money in the seventeenth century, and then by more sophisticated </w:t>
      </w:r>
      <w:r w:rsidR="00416846">
        <w:t>financial devices in the eighteenth century.</w:t>
      </w:r>
      <w:r w:rsidR="00E817F9">
        <w:t xml:space="preserve"> </w:t>
      </w:r>
    </w:p>
    <w:p w14:paraId="725F2177" w14:textId="77777777" w:rsidR="00A00CCA" w:rsidRDefault="00A00CCA"/>
    <w:sectPr w:rsidR="00A00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CA"/>
    <w:rsid w:val="00003226"/>
    <w:rsid w:val="00012CAF"/>
    <w:rsid w:val="0001584F"/>
    <w:rsid w:val="000524A8"/>
    <w:rsid w:val="0008140E"/>
    <w:rsid w:val="0009342F"/>
    <w:rsid w:val="00093494"/>
    <w:rsid w:val="000B1850"/>
    <w:rsid w:val="000B7771"/>
    <w:rsid w:val="000E2D8E"/>
    <w:rsid w:val="00104F0D"/>
    <w:rsid w:val="00134A3C"/>
    <w:rsid w:val="00136606"/>
    <w:rsid w:val="0015144C"/>
    <w:rsid w:val="00175C77"/>
    <w:rsid w:val="001766AB"/>
    <w:rsid w:val="001909C3"/>
    <w:rsid w:val="00196008"/>
    <w:rsid w:val="001C6841"/>
    <w:rsid w:val="001D235E"/>
    <w:rsid w:val="001E0E98"/>
    <w:rsid w:val="00202333"/>
    <w:rsid w:val="00220B3F"/>
    <w:rsid w:val="00223107"/>
    <w:rsid w:val="0022544C"/>
    <w:rsid w:val="002718A5"/>
    <w:rsid w:val="00274F55"/>
    <w:rsid w:val="0027590C"/>
    <w:rsid w:val="00284EF3"/>
    <w:rsid w:val="00284F3A"/>
    <w:rsid w:val="002D1907"/>
    <w:rsid w:val="002E0397"/>
    <w:rsid w:val="002F2CF5"/>
    <w:rsid w:val="002F4980"/>
    <w:rsid w:val="002F723D"/>
    <w:rsid w:val="003928C0"/>
    <w:rsid w:val="003943A7"/>
    <w:rsid w:val="003B28E1"/>
    <w:rsid w:val="003B3616"/>
    <w:rsid w:val="003D70FD"/>
    <w:rsid w:val="003E665D"/>
    <w:rsid w:val="003F1C59"/>
    <w:rsid w:val="0040211C"/>
    <w:rsid w:val="00416846"/>
    <w:rsid w:val="00442491"/>
    <w:rsid w:val="00450E9E"/>
    <w:rsid w:val="00467FF4"/>
    <w:rsid w:val="00480BF8"/>
    <w:rsid w:val="00482601"/>
    <w:rsid w:val="0048727A"/>
    <w:rsid w:val="00493E9B"/>
    <w:rsid w:val="004A5180"/>
    <w:rsid w:val="004C2E28"/>
    <w:rsid w:val="004C7599"/>
    <w:rsid w:val="005077C1"/>
    <w:rsid w:val="00531329"/>
    <w:rsid w:val="0053339E"/>
    <w:rsid w:val="00566E98"/>
    <w:rsid w:val="00577AFE"/>
    <w:rsid w:val="00582179"/>
    <w:rsid w:val="005824A0"/>
    <w:rsid w:val="005B5971"/>
    <w:rsid w:val="005D756F"/>
    <w:rsid w:val="006032F2"/>
    <w:rsid w:val="00605011"/>
    <w:rsid w:val="00634B06"/>
    <w:rsid w:val="006365B0"/>
    <w:rsid w:val="0064144E"/>
    <w:rsid w:val="00647F7A"/>
    <w:rsid w:val="00647FA0"/>
    <w:rsid w:val="00687F65"/>
    <w:rsid w:val="006924F8"/>
    <w:rsid w:val="006A188A"/>
    <w:rsid w:val="006A76D1"/>
    <w:rsid w:val="006E143D"/>
    <w:rsid w:val="00722D5E"/>
    <w:rsid w:val="00730BAE"/>
    <w:rsid w:val="00761636"/>
    <w:rsid w:val="00776DBE"/>
    <w:rsid w:val="007837C3"/>
    <w:rsid w:val="007905D4"/>
    <w:rsid w:val="00794FF2"/>
    <w:rsid w:val="007A223D"/>
    <w:rsid w:val="007E0224"/>
    <w:rsid w:val="00803A9D"/>
    <w:rsid w:val="008625CE"/>
    <w:rsid w:val="00896D0E"/>
    <w:rsid w:val="008A1D78"/>
    <w:rsid w:val="008E1E9A"/>
    <w:rsid w:val="00927591"/>
    <w:rsid w:val="009453CC"/>
    <w:rsid w:val="00960245"/>
    <w:rsid w:val="009656F4"/>
    <w:rsid w:val="009671D0"/>
    <w:rsid w:val="009703F5"/>
    <w:rsid w:val="00976D2F"/>
    <w:rsid w:val="009A4149"/>
    <w:rsid w:val="009B213B"/>
    <w:rsid w:val="009C386B"/>
    <w:rsid w:val="009C63ED"/>
    <w:rsid w:val="009D6FEB"/>
    <w:rsid w:val="009E23A5"/>
    <w:rsid w:val="00A00CCA"/>
    <w:rsid w:val="00A06912"/>
    <w:rsid w:val="00A43724"/>
    <w:rsid w:val="00A44463"/>
    <w:rsid w:val="00A46461"/>
    <w:rsid w:val="00A75AAB"/>
    <w:rsid w:val="00AB669F"/>
    <w:rsid w:val="00AC19BA"/>
    <w:rsid w:val="00AD0A49"/>
    <w:rsid w:val="00B146E6"/>
    <w:rsid w:val="00B27865"/>
    <w:rsid w:val="00B40EEC"/>
    <w:rsid w:val="00B4515E"/>
    <w:rsid w:val="00B628BD"/>
    <w:rsid w:val="00B85C16"/>
    <w:rsid w:val="00BC10D7"/>
    <w:rsid w:val="00BD73FC"/>
    <w:rsid w:val="00BE71F5"/>
    <w:rsid w:val="00BE7E34"/>
    <w:rsid w:val="00C23732"/>
    <w:rsid w:val="00C248FB"/>
    <w:rsid w:val="00C45CA0"/>
    <w:rsid w:val="00C461A3"/>
    <w:rsid w:val="00C62A23"/>
    <w:rsid w:val="00C722DB"/>
    <w:rsid w:val="00C7663B"/>
    <w:rsid w:val="00C90A05"/>
    <w:rsid w:val="00C93411"/>
    <w:rsid w:val="00CC4D5B"/>
    <w:rsid w:val="00CD1FC0"/>
    <w:rsid w:val="00D259A6"/>
    <w:rsid w:val="00D40CE5"/>
    <w:rsid w:val="00D528BF"/>
    <w:rsid w:val="00D853A0"/>
    <w:rsid w:val="00D90CCE"/>
    <w:rsid w:val="00DD24B5"/>
    <w:rsid w:val="00DD3F33"/>
    <w:rsid w:val="00DD5B59"/>
    <w:rsid w:val="00DE7C6C"/>
    <w:rsid w:val="00E04BA6"/>
    <w:rsid w:val="00E3742C"/>
    <w:rsid w:val="00E47A35"/>
    <w:rsid w:val="00E47AB1"/>
    <w:rsid w:val="00E8131A"/>
    <w:rsid w:val="00E817F9"/>
    <w:rsid w:val="00EA5194"/>
    <w:rsid w:val="00EB64BC"/>
    <w:rsid w:val="00ED3A7C"/>
    <w:rsid w:val="00F06D26"/>
    <w:rsid w:val="00F545A1"/>
    <w:rsid w:val="00F67E9F"/>
    <w:rsid w:val="00F86C5A"/>
    <w:rsid w:val="00FB7B3E"/>
    <w:rsid w:val="00FC1685"/>
    <w:rsid w:val="00FC4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59FE"/>
  <w15:chartTrackingRefBased/>
  <w15:docId w15:val="{E2387599-67F5-4413-AB1B-972EC40A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CCA"/>
    <w:rPr>
      <w:rFonts w:eastAsiaTheme="majorEastAsia" w:cstheme="majorBidi"/>
      <w:color w:val="272727" w:themeColor="text1" w:themeTint="D8"/>
    </w:rPr>
  </w:style>
  <w:style w:type="paragraph" w:styleId="Title">
    <w:name w:val="Title"/>
    <w:basedOn w:val="Normal"/>
    <w:next w:val="Normal"/>
    <w:link w:val="TitleChar"/>
    <w:uiPriority w:val="10"/>
    <w:qFormat/>
    <w:rsid w:val="00A00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CCA"/>
    <w:pPr>
      <w:spacing w:before="160"/>
      <w:jc w:val="center"/>
    </w:pPr>
    <w:rPr>
      <w:i/>
      <w:iCs/>
      <w:color w:val="404040" w:themeColor="text1" w:themeTint="BF"/>
    </w:rPr>
  </w:style>
  <w:style w:type="character" w:customStyle="1" w:styleId="QuoteChar">
    <w:name w:val="Quote Char"/>
    <w:basedOn w:val="DefaultParagraphFont"/>
    <w:link w:val="Quote"/>
    <w:uiPriority w:val="29"/>
    <w:rsid w:val="00A00CCA"/>
    <w:rPr>
      <w:i/>
      <w:iCs/>
      <w:color w:val="404040" w:themeColor="text1" w:themeTint="BF"/>
    </w:rPr>
  </w:style>
  <w:style w:type="paragraph" w:styleId="ListParagraph">
    <w:name w:val="List Paragraph"/>
    <w:basedOn w:val="Normal"/>
    <w:uiPriority w:val="34"/>
    <w:qFormat/>
    <w:rsid w:val="00A00CCA"/>
    <w:pPr>
      <w:ind w:left="720"/>
      <w:contextualSpacing/>
    </w:pPr>
  </w:style>
  <w:style w:type="character" w:styleId="IntenseEmphasis">
    <w:name w:val="Intense Emphasis"/>
    <w:basedOn w:val="DefaultParagraphFont"/>
    <w:uiPriority w:val="21"/>
    <w:qFormat/>
    <w:rsid w:val="00A00CCA"/>
    <w:rPr>
      <w:i/>
      <w:iCs/>
      <w:color w:val="0F4761" w:themeColor="accent1" w:themeShade="BF"/>
    </w:rPr>
  </w:style>
  <w:style w:type="paragraph" w:styleId="IntenseQuote">
    <w:name w:val="Intense Quote"/>
    <w:basedOn w:val="Normal"/>
    <w:next w:val="Normal"/>
    <w:link w:val="IntenseQuoteChar"/>
    <w:uiPriority w:val="30"/>
    <w:qFormat/>
    <w:rsid w:val="00A00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CCA"/>
    <w:rPr>
      <w:i/>
      <w:iCs/>
      <w:color w:val="0F4761" w:themeColor="accent1" w:themeShade="BF"/>
    </w:rPr>
  </w:style>
  <w:style w:type="character" w:styleId="IntenseReference">
    <w:name w:val="Intense Reference"/>
    <w:basedOn w:val="DefaultParagraphFont"/>
    <w:uiPriority w:val="32"/>
    <w:qFormat/>
    <w:rsid w:val="00A00CCA"/>
    <w:rPr>
      <w:b/>
      <w:bCs/>
      <w:smallCaps/>
      <w:color w:val="0F4761" w:themeColor="accent1" w:themeShade="BF"/>
      <w:spacing w:val="5"/>
    </w:rPr>
  </w:style>
  <w:style w:type="table" w:styleId="TableGrid">
    <w:name w:val="Table Grid"/>
    <w:basedOn w:val="TableNormal"/>
    <w:uiPriority w:val="39"/>
    <w:rsid w:val="00A00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universityofexeteruk-my.sharepoint.com/personal/j_c_whittle_exeter_ac_uk/Documents/Documents/docs/Wills%20project/Main%20results%20article/Overview%20of%20bequests_JW_Feb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niversityofexeteruk-my.sharepoint.com/personal/j_c_whittle_exeter_ac_uk/Documents/Documents/docs/Wills%20project/Main%20results%20article/Overview%20of%20bequests_JW_Feb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niversityofexeteruk-my.sharepoint.com/personal/j_c_whittle_exeter_ac_uk/Documents/Documents/docs/Wills%20project/Main%20results%20article/Overview%20of%20bequests_JW_Feb2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1: Changing Bequests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percentStacked"/>
        <c:varyColors val="0"/>
        <c:ser>
          <c:idx val="0"/>
          <c:order val="0"/>
          <c:tx>
            <c:strRef>
              <c:f>Comparison!$H$3</c:f>
              <c:strCache>
                <c:ptCount val="1"/>
                <c:pt idx="0">
                  <c:v>Property</c:v>
                </c:pt>
              </c:strCache>
            </c:strRef>
          </c:tx>
          <c:spPr>
            <a:solidFill>
              <a:schemeClr val="accent1"/>
            </a:solidFill>
            <a:ln>
              <a:noFill/>
            </a:ln>
            <a:effectLst/>
          </c:spPr>
          <c:cat>
            <c:strRef>
              <c:f>Comparison!$I$2:$M$2</c:f>
              <c:strCache>
                <c:ptCount val="5"/>
                <c:pt idx="0">
                  <c:v>1538-52</c:v>
                </c:pt>
                <c:pt idx="1">
                  <c:v>1604-8</c:v>
                </c:pt>
                <c:pt idx="2">
                  <c:v>1664-6</c:v>
                </c:pt>
                <c:pt idx="3">
                  <c:v>1724-5</c:v>
                </c:pt>
                <c:pt idx="4">
                  <c:v>1784-5</c:v>
                </c:pt>
              </c:strCache>
            </c:strRef>
          </c:cat>
          <c:val>
            <c:numRef>
              <c:f>Comparison!$I$3:$M$3</c:f>
              <c:numCache>
                <c:formatCode>General</c:formatCode>
                <c:ptCount val="5"/>
                <c:pt idx="0">
                  <c:v>17</c:v>
                </c:pt>
                <c:pt idx="1">
                  <c:v>12</c:v>
                </c:pt>
                <c:pt idx="2">
                  <c:v>16</c:v>
                </c:pt>
                <c:pt idx="3">
                  <c:v>21</c:v>
                </c:pt>
                <c:pt idx="4">
                  <c:v>20</c:v>
                </c:pt>
              </c:numCache>
            </c:numRef>
          </c:val>
          <c:extLst>
            <c:ext xmlns:c16="http://schemas.microsoft.com/office/drawing/2014/chart" uri="{C3380CC4-5D6E-409C-BE32-E72D297353CC}">
              <c16:uniqueId val="{00000000-A16B-47D8-9BAC-35B4F7A60FB7}"/>
            </c:ext>
          </c:extLst>
        </c:ser>
        <c:ser>
          <c:idx val="1"/>
          <c:order val="1"/>
          <c:tx>
            <c:strRef>
              <c:f>Comparison!$H$4</c:f>
              <c:strCache>
                <c:ptCount val="1"/>
                <c:pt idx="0">
                  <c:v>Cash</c:v>
                </c:pt>
              </c:strCache>
            </c:strRef>
          </c:tx>
          <c:spPr>
            <a:solidFill>
              <a:schemeClr val="accent2"/>
            </a:solidFill>
            <a:ln>
              <a:noFill/>
            </a:ln>
            <a:effectLst/>
          </c:spPr>
          <c:cat>
            <c:strRef>
              <c:f>Comparison!$I$2:$M$2</c:f>
              <c:strCache>
                <c:ptCount val="5"/>
                <c:pt idx="0">
                  <c:v>1538-52</c:v>
                </c:pt>
                <c:pt idx="1">
                  <c:v>1604-8</c:v>
                </c:pt>
                <c:pt idx="2">
                  <c:v>1664-6</c:v>
                </c:pt>
                <c:pt idx="3">
                  <c:v>1724-5</c:v>
                </c:pt>
                <c:pt idx="4">
                  <c:v>1784-5</c:v>
                </c:pt>
              </c:strCache>
            </c:strRef>
          </c:cat>
          <c:val>
            <c:numRef>
              <c:f>Comparison!$I$4:$M$4</c:f>
              <c:numCache>
                <c:formatCode>General</c:formatCode>
                <c:ptCount val="5"/>
                <c:pt idx="0">
                  <c:v>28</c:v>
                </c:pt>
                <c:pt idx="1">
                  <c:v>49</c:v>
                </c:pt>
                <c:pt idx="2">
                  <c:v>46</c:v>
                </c:pt>
                <c:pt idx="3">
                  <c:v>36</c:v>
                </c:pt>
                <c:pt idx="4">
                  <c:v>30</c:v>
                </c:pt>
              </c:numCache>
            </c:numRef>
          </c:val>
          <c:extLst>
            <c:ext xmlns:c16="http://schemas.microsoft.com/office/drawing/2014/chart" uri="{C3380CC4-5D6E-409C-BE32-E72D297353CC}">
              <c16:uniqueId val="{00000001-A16B-47D8-9BAC-35B4F7A60FB7}"/>
            </c:ext>
          </c:extLst>
        </c:ser>
        <c:ser>
          <c:idx val="2"/>
          <c:order val="2"/>
          <c:tx>
            <c:strRef>
              <c:f>Comparison!$H$5</c:f>
              <c:strCache>
                <c:ptCount val="1"/>
                <c:pt idx="0">
                  <c:v>Finance</c:v>
                </c:pt>
              </c:strCache>
            </c:strRef>
          </c:tx>
          <c:spPr>
            <a:solidFill>
              <a:schemeClr val="accent3"/>
            </a:solidFill>
            <a:ln>
              <a:noFill/>
            </a:ln>
            <a:effectLst/>
          </c:spPr>
          <c:cat>
            <c:strRef>
              <c:f>Comparison!$I$2:$M$2</c:f>
              <c:strCache>
                <c:ptCount val="5"/>
                <c:pt idx="0">
                  <c:v>1538-52</c:v>
                </c:pt>
                <c:pt idx="1">
                  <c:v>1604-8</c:v>
                </c:pt>
                <c:pt idx="2">
                  <c:v>1664-6</c:v>
                </c:pt>
                <c:pt idx="3">
                  <c:v>1724-5</c:v>
                </c:pt>
                <c:pt idx="4">
                  <c:v>1784-5</c:v>
                </c:pt>
              </c:strCache>
            </c:strRef>
          </c:cat>
          <c:val>
            <c:numRef>
              <c:f>Comparison!$I$5:$M$5</c:f>
              <c:numCache>
                <c:formatCode>General</c:formatCode>
                <c:ptCount val="5"/>
                <c:pt idx="0">
                  <c:v>2</c:v>
                </c:pt>
                <c:pt idx="1">
                  <c:v>3</c:v>
                </c:pt>
                <c:pt idx="2">
                  <c:v>4</c:v>
                </c:pt>
                <c:pt idx="3">
                  <c:v>9</c:v>
                </c:pt>
                <c:pt idx="4">
                  <c:v>16</c:v>
                </c:pt>
              </c:numCache>
            </c:numRef>
          </c:val>
          <c:extLst>
            <c:ext xmlns:c16="http://schemas.microsoft.com/office/drawing/2014/chart" uri="{C3380CC4-5D6E-409C-BE32-E72D297353CC}">
              <c16:uniqueId val="{00000002-A16B-47D8-9BAC-35B4F7A60FB7}"/>
            </c:ext>
          </c:extLst>
        </c:ser>
        <c:ser>
          <c:idx val="3"/>
          <c:order val="3"/>
          <c:tx>
            <c:strRef>
              <c:f>Comparison!$H$6</c:f>
              <c:strCache>
                <c:ptCount val="1"/>
                <c:pt idx="0">
                  <c:v>Specific goods</c:v>
                </c:pt>
              </c:strCache>
            </c:strRef>
          </c:tx>
          <c:spPr>
            <a:solidFill>
              <a:schemeClr val="accent4"/>
            </a:solidFill>
            <a:ln>
              <a:noFill/>
            </a:ln>
            <a:effectLst/>
          </c:spPr>
          <c:cat>
            <c:strRef>
              <c:f>Comparison!$I$2:$M$2</c:f>
              <c:strCache>
                <c:ptCount val="5"/>
                <c:pt idx="0">
                  <c:v>1538-52</c:v>
                </c:pt>
                <c:pt idx="1">
                  <c:v>1604-8</c:v>
                </c:pt>
                <c:pt idx="2">
                  <c:v>1664-6</c:v>
                </c:pt>
                <c:pt idx="3">
                  <c:v>1724-5</c:v>
                </c:pt>
                <c:pt idx="4">
                  <c:v>1784-5</c:v>
                </c:pt>
              </c:strCache>
            </c:strRef>
          </c:cat>
          <c:val>
            <c:numRef>
              <c:f>Comparison!$I$6:$M$6</c:f>
              <c:numCache>
                <c:formatCode>General</c:formatCode>
                <c:ptCount val="5"/>
                <c:pt idx="0">
                  <c:v>46</c:v>
                </c:pt>
                <c:pt idx="1">
                  <c:v>28</c:v>
                </c:pt>
                <c:pt idx="2">
                  <c:v>23</c:v>
                </c:pt>
                <c:pt idx="3">
                  <c:v>20</c:v>
                </c:pt>
                <c:pt idx="4">
                  <c:v>19</c:v>
                </c:pt>
              </c:numCache>
            </c:numRef>
          </c:val>
          <c:extLst>
            <c:ext xmlns:c16="http://schemas.microsoft.com/office/drawing/2014/chart" uri="{C3380CC4-5D6E-409C-BE32-E72D297353CC}">
              <c16:uniqueId val="{00000003-A16B-47D8-9BAC-35B4F7A60FB7}"/>
            </c:ext>
          </c:extLst>
        </c:ser>
        <c:ser>
          <c:idx val="4"/>
          <c:order val="4"/>
          <c:tx>
            <c:strRef>
              <c:f>Comparison!$H$7</c:f>
              <c:strCache>
                <c:ptCount val="1"/>
                <c:pt idx="0">
                  <c:v>Unspecified goods</c:v>
                </c:pt>
              </c:strCache>
            </c:strRef>
          </c:tx>
          <c:spPr>
            <a:solidFill>
              <a:schemeClr val="accent5"/>
            </a:solidFill>
            <a:ln>
              <a:noFill/>
            </a:ln>
            <a:effectLst/>
          </c:spPr>
          <c:cat>
            <c:strRef>
              <c:f>Comparison!$I$2:$M$2</c:f>
              <c:strCache>
                <c:ptCount val="5"/>
                <c:pt idx="0">
                  <c:v>1538-52</c:v>
                </c:pt>
                <c:pt idx="1">
                  <c:v>1604-8</c:v>
                </c:pt>
                <c:pt idx="2">
                  <c:v>1664-6</c:v>
                </c:pt>
                <c:pt idx="3">
                  <c:v>1724-5</c:v>
                </c:pt>
                <c:pt idx="4">
                  <c:v>1784-5</c:v>
                </c:pt>
              </c:strCache>
            </c:strRef>
          </c:cat>
          <c:val>
            <c:numRef>
              <c:f>Comparison!$I$7:$M$7</c:f>
              <c:numCache>
                <c:formatCode>General</c:formatCode>
                <c:ptCount val="5"/>
                <c:pt idx="0">
                  <c:v>7</c:v>
                </c:pt>
                <c:pt idx="1">
                  <c:v>8</c:v>
                </c:pt>
                <c:pt idx="2">
                  <c:v>11</c:v>
                </c:pt>
                <c:pt idx="3">
                  <c:v>14</c:v>
                </c:pt>
                <c:pt idx="4">
                  <c:v>15</c:v>
                </c:pt>
              </c:numCache>
            </c:numRef>
          </c:val>
          <c:extLst>
            <c:ext xmlns:c16="http://schemas.microsoft.com/office/drawing/2014/chart" uri="{C3380CC4-5D6E-409C-BE32-E72D297353CC}">
              <c16:uniqueId val="{00000004-A16B-47D8-9BAC-35B4F7A60FB7}"/>
            </c:ext>
          </c:extLst>
        </c:ser>
        <c:dLbls>
          <c:showLegendKey val="0"/>
          <c:showVal val="0"/>
          <c:showCatName val="0"/>
          <c:showSerName val="0"/>
          <c:showPercent val="0"/>
          <c:showBubbleSize val="0"/>
        </c:dLbls>
        <c:axId val="1776922719"/>
        <c:axId val="1776920799"/>
      </c:areaChart>
      <c:catAx>
        <c:axId val="177692271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920799"/>
        <c:crosses val="autoZero"/>
        <c:auto val="1"/>
        <c:lblAlgn val="ctr"/>
        <c:lblOffset val="100"/>
        <c:noMultiLvlLbl val="0"/>
      </c:catAx>
      <c:valAx>
        <c:axId val="17769207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92271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2: Bequests of goods, standardized to 5000 wills per period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169203849518811"/>
          <c:y val="0.17171296296296298"/>
          <c:w val="0.86497462817147852"/>
          <c:h val="0.6153546952464275"/>
        </c:manualLayout>
      </c:layout>
      <c:barChart>
        <c:barDir val="col"/>
        <c:grouping val="stacked"/>
        <c:varyColors val="0"/>
        <c:ser>
          <c:idx val="0"/>
          <c:order val="0"/>
          <c:tx>
            <c:strRef>
              <c:f>Stats!$B$66</c:f>
              <c:strCache>
                <c:ptCount val="1"/>
                <c:pt idx="0">
                  <c:v>Productive goods</c:v>
                </c:pt>
              </c:strCache>
            </c:strRef>
          </c:tx>
          <c:spPr>
            <a:solidFill>
              <a:schemeClr val="accent1"/>
            </a:solidFill>
            <a:ln>
              <a:noFill/>
            </a:ln>
            <a:effectLst/>
          </c:spPr>
          <c:invertIfNegative val="0"/>
          <c:cat>
            <c:strRef>
              <c:f>Stats!$C$65:$G$65</c:f>
              <c:strCache>
                <c:ptCount val="5"/>
                <c:pt idx="0">
                  <c:v>1538-52</c:v>
                </c:pt>
                <c:pt idx="1">
                  <c:v>1604-8</c:v>
                </c:pt>
                <c:pt idx="2">
                  <c:v>1664-6</c:v>
                </c:pt>
                <c:pt idx="3">
                  <c:v>1724-5</c:v>
                </c:pt>
                <c:pt idx="4">
                  <c:v>1785-6</c:v>
                </c:pt>
              </c:strCache>
            </c:strRef>
          </c:cat>
          <c:val>
            <c:numRef>
              <c:f>Stats!$C$66:$G$66</c:f>
              <c:numCache>
                <c:formatCode>General</c:formatCode>
                <c:ptCount val="5"/>
                <c:pt idx="0">
                  <c:v>10525</c:v>
                </c:pt>
                <c:pt idx="1">
                  <c:v>6910</c:v>
                </c:pt>
                <c:pt idx="2">
                  <c:v>1140</c:v>
                </c:pt>
                <c:pt idx="3">
                  <c:v>891</c:v>
                </c:pt>
                <c:pt idx="4">
                  <c:v>1029</c:v>
                </c:pt>
              </c:numCache>
            </c:numRef>
          </c:val>
          <c:extLst>
            <c:ext xmlns:c16="http://schemas.microsoft.com/office/drawing/2014/chart" uri="{C3380CC4-5D6E-409C-BE32-E72D297353CC}">
              <c16:uniqueId val="{00000000-7837-4282-9E46-27504C4F7112}"/>
            </c:ext>
          </c:extLst>
        </c:ser>
        <c:ser>
          <c:idx val="1"/>
          <c:order val="1"/>
          <c:tx>
            <c:strRef>
              <c:f>Stats!$B$67</c:f>
              <c:strCache>
                <c:ptCount val="1"/>
                <c:pt idx="0">
                  <c:v>Household goods</c:v>
                </c:pt>
              </c:strCache>
            </c:strRef>
          </c:tx>
          <c:spPr>
            <a:solidFill>
              <a:schemeClr val="accent2"/>
            </a:solidFill>
            <a:ln>
              <a:noFill/>
            </a:ln>
            <a:effectLst/>
          </c:spPr>
          <c:invertIfNegative val="0"/>
          <c:cat>
            <c:strRef>
              <c:f>Stats!$C$65:$G$65</c:f>
              <c:strCache>
                <c:ptCount val="5"/>
                <c:pt idx="0">
                  <c:v>1538-52</c:v>
                </c:pt>
                <c:pt idx="1">
                  <c:v>1604-8</c:v>
                </c:pt>
                <c:pt idx="2">
                  <c:v>1664-6</c:v>
                </c:pt>
                <c:pt idx="3">
                  <c:v>1724-5</c:v>
                </c:pt>
                <c:pt idx="4">
                  <c:v>1785-6</c:v>
                </c:pt>
              </c:strCache>
            </c:strRef>
          </c:cat>
          <c:val>
            <c:numRef>
              <c:f>Stats!$C$67:$G$67</c:f>
              <c:numCache>
                <c:formatCode>General</c:formatCode>
                <c:ptCount val="5"/>
                <c:pt idx="0">
                  <c:v>23204</c:v>
                </c:pt>
                <c:pt idx="1">
                  <c:v>20097</c:v>
                </c:pt>
                <c:pt idx="2">
                  <c:v>9113</c:v>
                </c:pt>
                <c:pt idx="3">
                  <c:v>5528</c:v>
                </c:pt>
                <c:pt idx="4">
                  <c:v>4331</c:v>
                </c:pt>
              </c:numCache>
            </c:numRef>
          </c:val>
          <c:extLst>
            <c:ext xmlns:c16="http://schemas.microsoft.com/office/drawing/2014/chart" uri="{C3380CC4-5D6E-409C-BE32-E72D297353CC}">
              <c16:uniqueId val="{00000001-7837-4282-9E46-27504C4F7112}"/>
            </c:ext>
          </c:extLst>
        </c:ser>
        <c:ser>
          <c:idx val="2"/>
          <c:order val="2"/>
          <c:tx>
            <c:strRef>
              <c:f>Stats!$B$68</c:f>
              <c:strCache>
                <c:ptCount val="1"/>
                <c:pt idx="0">
                  <c:v>Clothing</c:v>
                </c:pt>
              </c:strCache>
            </c:strRef>
          </c:tx>
          <c:spPr>
            <a:solidFill>
              <a:schemeClr val="accent3"/>
            </a:solidFill>
            <a:ln>
              <a:noFill/>
            </a:ln>
            <a:effectLst/>
          </c:spPr>
          <c:invertIfNegative val="0"/>
          <c:cat>
            <c:strRef>
              <c:f>Stats!$C$65:$G$65</c:f>
              <c:strCache>
                <c:ptCount val="5"/>
                <c:pt idx="0">
                  <c:v>1538-52</c:v>
                </c:pt>
                <c:pt idx="1">
                  <c:v>1604-8</c:v>
                </c:pt>
                <c:pt idx="2">
                  <c:v>1664-6</c:v>
                </c:pt>
                <c:pt idx="3">
                  <c:v>1724-5</c:v>
                </c:pt>
                <c:pt idx="4">
                  <c:v>1785-6</c:v>
                </c:pt>
              </c:strCache>
            </c:strRef>
          </c:cat>
          <c:val>
            <c:numRef>
              <c:f>Stats!$C$68:$G$68</c:f>
              <c:numCache>
                <c:formatCode>General</c:formatCode>
                <c:ptCount val="5"/>
                <c:pt idx="0">
                  <c:v>12769</c:v>
                </c:pt>
                <c:pt idx="1">
                  <c:v>6159</c:v>
                </c:pt>
                <c:pt idx="2">
                  <c:v>2701</c:v>
                </c:pt>
                <c:pt idx="3">
                  <c:v>2376</c:v>
                </c:pt>
                <c:pt idx="4">
                  <c:v>2618</c:v>
                </c:pt>
              </c:numCache>
            </c:numRef>
          </c:val>
          <c:extLst>
            <c:ext xmlns:c16="http://schemas.microsoft.com/office/drawing/2014/chart" uri="{C3380CC4-5D6E-409C-BE32-E72D297353CC}">
              <c16:uniqueId val="{00000002-7837-4282-9E46-27504C4F7112}"/>
            </c:ext>
          </c:extLst>
        </c:ser>
        <c:ser>
          <c:idx val="3"/>
          <c:order val="3"/>
          <c:tx>
            <c:strRef>
              <c:f>Stats!$B$69</c:f>
              <c:strCache>
                <c:ptCount val="1"/>
                <c:pt idx="0">
                  <c:v>Jewellery etc</c:v>
                </c:pt>
              </c:strCache>
            </c:strRef>
          </c:tx>
          <c:spPr>
            <a:solidFill>
              <a:schemeClr val="accent4"/>
            </a:solidFill>
            <a:ln>
              <a:noFill/>
            </a:ln>
            <a:effectLst/>
          </c:spPr>
          <c:invertIfNegative val="0"/>
          <c:cat>
            <c:strRef>
              <c:f>Stats!$C$65:$G$65</c:f>
              <c:strCache>
                <c:ptCount val="5"/>
                <c:pt idx="0">
                  <c:v>1538-52</c:v>
                </c:pt>
                <c:pt idx="1">
                  <c:v>1604-8</c:v>
                </c:pt>
                <c:pt idx="2">
                  <c:v>1664-6</c:v>
                </c:pt>
                <c:pt idx="3">
                  <c:v>1724-5</c:v>
                </c:pt>
                <c:pt idx="4">
                  <c:v>1785-6</c:v>
                </c:pt>
              </c:strCache>
            </c:strRef>
          </c:cat>
          <c:val>
            <c:numRef>
              <c:f>Stats!$C$69:$G$69</c:f>
              <c:numCache>
                <c:formatCode>General</c:formatCode>
                <c:ptCount val="5"/>
                <c:pt idx="0">
                  <c:v>3207</c:v>
                </c:pt>
                <c:pt idx="1">
                  <c:v>3484</c:v>
                </c:pt>
                <c:pt idx="2">
                  <c:v>3632</c:v>
                </c:pt>
                <c:pt idx="3">
                  <c:v>3474</c:v>
                </c:pt>
                <c:pt idx="4">
                  <c:v>3511</c:v>
                </c:pt>
              </c:numCache>
            </c:numRef>
          </c:val>
          <c:extLst>
            <c:ext xmlns:c16="http://schemas.microsoft.com/office/drawing/2014/chart" uri="{C3380CC4-5D6E-409C-BE32-E72D297353CC}">
              <c16:uniqueId val="{00000003-7837-4282-9E46-27504C4F7112}"/>
            </c:ext>
          </c:extLst>
        </c:ser>
        <c:ser>
          <c:idx val="4"/>
          <c:order val="4"/>
          <c:tx>
            <c:strRef>
              <c:f>Stats!$B$70</c:f>
              <c:strCache>
                <c:ptCount val="1"/>
                <c:pt idx="0">
                  <c:v>Books</c:v>
                </c:pt>
              </c:strCache>
            </c:strRef>
          </c:tx>
          <c:spPr>
            <a:solidFill>
              <a:schemeClr val="accent5"/>
            </a:solidFill>
            <a:ln>
              <a:noFill/>
            </a:ln>
            <a:effectLst/>
          </c:spPr>
          <c:invertIfNegative val="0"/>
          <c:cat>
            <c:strRef>
              <c:f>Stats!$C$65:$G$65</c:f>
              <c:strCache>
                <c:ptCount val="5"/>
                <c:pt idx="0">
                  <c:v>1538-52</c:v>
                </c:pt>
                <c:pt idx="1">
                  <c:v>1604-8</c:v>
                </c:pt>
                <c:pt idx="2">
                  <c:v>1664-6</c:v>
                </c:pt>
                <c:pt idx="3">
                  <c:v>1724-5</c:v>
                </c:pt>
                <c:pt idx="4">
                  <c:v>1785-6</c:v>
                </c:pt>
              </c:strCache>
            </c:strRef>
          </c:cat>
          <c:val>
            <c:numRef>
              <c:f>Stats!$C$70:$G$70</c:f>
              <c:numCache>
                <c:formatCode>General</c:formatCode>
                <c:ptCount val="5"/>
                <c:pt idx="0">
                  <c:v>411</c:v>
                </c:pt>
                <c:pt idx="1">
                  <c:v>535</c:v>
                </c:pt>
                <c:pt idx="2">
                  <c:v>509</c:v>
                </c:pt>
                <c:pt idx="3">
                  <c:v>540</c:v>
                </c:pt>
                <c:pt idx="4">
                  <c:v>734</c:v>
                </c:pt>
              </c:numCache>
            </c:numRef>
          </c:val>
          <c:extLst>
            <c:ext xmlns:c16="http://schemas.microsoft.com/office/drawing/2014/chart" uri="{C3380CC4-5D6E-409C-BE32-E72D297353CC}">
              <c16:uniqueId val="{00000004-7837-4282-9E46-27504C4F7112}"/>
            </c:ext>
          </c:extLst>
        </c:ser>
        <c:ser>
          <c:idx val="5"/>
          <c:order val="5"/>
          <c:tx>
            <c:strRef>
              <c:f>Stats!$B$71</c:f>
              <c:strCache>
                <c:ptCount val="1"/>
                <c:pt idx="0">
                  <c:v>Vehicles</c:v>
                </c:pt>
              </c:strCache>
            </c:strRef>
          </c:tx>
          <c:spPr>
            <a:solidFill>
              <a:schemeClr val="accent6"/>
            </a:solidFill>
            <a:ln>
              <a:noFill/>
            </a:ln>
            <a:effectLst/>
          </c:spPr>
          <c:invertIfNegative val="0"/>
          <c:cat>
            <c:strRef>
              <c:f>Stats!$C$65:$G$65</c:f>
              <c:strCache>
                <c:ptCount val="5"/>
                <c:pt idx="0">
                  <c:v>1538-52</c:v>
                </c:pt>
                <c:pt idx="1">
                  <c:v>1604-8</c:v>
                </c:pt>
                <c:pt idx="2">
                  <c:v>1664-6</c:v>
                </c:pt>
                <c:pt idx="3">
                  <c:v>1724-5</c:v>
                </c:pt>
                <c:pt idx="4">
                  <c:v>1785-6</c:v>
                </c:pt>
              </c:strCache>
            </c:strRef>
          </c:cat>
          <c:val>
            <c:numRef>
              <c:f>Stats!$C$71:$G$71</c:f>
              <c:numCache>
                <c:formatCode>General</c:formatCode>
                <c:ptCount val="5"/>
                <c:pt idx="0">
                  <c:v>1627</c:v>
                </c:pt>
                <c:pt idx="1">
                  <c:v>860</c:v>
                </c:pt>
                <c:pt idx="2">
                  <c:v>263</c:v>
                </c:pt>
                <c:pt idx="3">
                  <c:v>262</c:v>
                </c:pt>
                <c:pt idx="4">
                  <c:v>312</c:v>
                </c:pt>
              </c:numCache>
            </c:numRef>
          </c:val>
          <c:extLst>
            <c:ext xmlns:c16="http://schemas.microsoft.com/office/drawing/2014/chart" uri="{C3380CC4-5D6E-409C-BE32-E72D297353CC}">
              <c16:uniqueId val="{00000005-7837-4282-9E46-27504C4F7112}"/>
            </c:ext>
          </c:extLst>
        </c:ser>
        <c:dLbls>
          <c:showLegendKey val="0"/>
          <c:showVal val="0"/>
          <c:showCatName val="0"/>
          <c:showSerName val="0"/>
          <c:showPercent val="0"/>
          <c:showBubbleSize val="0"/>
        </c:dLbls>
        <c:gapWidth val="150"/>
        <c:overlap val="100"/>
        <c:axId val="1153258128"/>
        <c:axId val="1153264368"/>
      </c:barChart>
      <c:catAx>
        <c:axId val="115325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264368"/>
        <c:crosses val="autoZero"/>
        <c:auto val="1"/>
        <c:lblAlgn val="ctr"/>
        <c:lblOffset val="100"/>
        <c:noMultiLvlLbl val="0"/>
      </c:catAx>
      <c:valAx>
        <c:axId val="1153264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258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3: Main types of financial bequests (standardized to 5000 wills per period)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Finance!$S$4</c:f>
              <c:strCache>
                <c:ptCount val="1"/>
                <c:pt idx="0">
                  <c:v>annuity</c:v>
                </c:pt>
              </c:strCache>
            </c:strRef>
          </c:tx>
          <c:spPr>
            <a:solidFill>
              <a:schemeClr val="accent1"/>
            </a:solidFill>
            <a:ln>
              <a:noFill/>
            </a:ln>
            <a:effectLst/>
          </c:spPr>
          <c:invertIfNegative val="0"/>
          <c:cat>
            <c:strRef>
              <c:f>Finance!$T$3:$X$3</c:f>
              <c:strCache>
                <c:ptCount val="5"/>
                <c:pt idx="0">
                  <c:v>1538-52</c:v>
                </c:pt>
                <c:pt idx="1">
                  <c:v>1604-08</c:v>
                </c:pt>
                <c:pt idx="2">
                  <c:v>1664-6</c:v>
                </c:pt>
                <c:pt idx="3">
                  <c:v>1724-5</c:v>
                </c:pt>
                <c:pt idx="4">
                  <c:v>1784-5</c:v>
                </c:pt>
              </c:strCache>
            </c:strRef>
          </c:cat>
          <c:val>
            <c:numRef>
              <c:f>Finance!$T$4:$X$4</c:f>
              <c:numCache>
                <c:formatCode>0</c:formatCode>
                <c:ptCount val="5"/>
                <c:pt idx="0">
                  <c:v>165.54000000000002</c:v>
                </c:pt>
                <c:pt idx="1">
                  <c:v>595.98</c:v>
                </c:pt>
                <c:pt idx="2">
                  <c:v>362.7</c:v>
                </c:pt>
                <c:pt idx="3" formatCode="General">
                  <c:v>947</c:v>
                </c:pt>
                <c:pt idx="4">
                  <c:v>3370.8</c:v>
                </c:pt>
              </c:numCache>
            </c:numRef>
          </c:val>
          <c:extLst>
            <c:ext xmlns:c16="http://schemas.microsoft.com/office/drawing/2014/chart" uri="{C3380CC4-5D6E-409C-BE32-E72D297353CC}">
              <c16:uniqueId val="{00000000-B4CD-4C62-9407-91628302EAC8}"/>
            </c:ext>
          </c:extLst>
        </c:ser>
        <c:ser>
          <c:idx val="1"/>
          <c:order val="1"/>
          <c:tx>
            <c:strRef>
              <c:f>Finance!$S$5</c:f>
              <c:strCache>
                <c:ptCount val="1"/>
                <c:pt idx="0">
                  <c:v>interest</c:v>
                </c:pt>
              </c:strCache>
            </c:strRef>
          </c:tx>
          <c:spPr>
            <a:solidFill>
              <a:schemeClr val="accent2"/>
            </a:solidFill>
            <a:ln>
              <a:noFill/>
            </a:ln>
            <a:effectLst/>
          </c:spPr>
          <c:invertIfNegative val="0"/>
          <c:cat>
            <c:strRef>
              <c:f>Finance!$T$3:$X$3</c:f>
              <c:strCache>
                <c:ptCount val="5"/>
                <c:pt idx="0">
                  <c:v>1538-52</c:v>
                </c:pt>
                <c:pt idx="1">
                  <c:v>1604-08</c:v>
                </c:pt>
                <c:pt idx="2">
                  <c:v>1664-6</c:v>
                </c:pt>
                <c:pt idx="3">
                  <c:v>1724-5</c:v>
                </c:pt>
                <c:pt idx="4">
                  <c:v>1784-5</c:v>
                </c:pt>
              </c:strCache>
            </c:strRef>
          </c:cat>
          <c:val>
            <c:numRef>
              <c:f>Finance!$T$5:$X$5</c:f>
              <c:numCache>
                <c:formatCode>0</c:formatCode>
                <c:ptCount val="5"/>
                <c:pt idx="0">
                  <c:v>39.06</c:v>
                </c:pt>
                <c:pt idx="1">
                  <c:v>80.19</c:v>
                </c:pt>
                <c:pt idx="2">
                  <c:v>359.1</c:v>
                </c:pt>
                <c:pt idx="3" formatCode="General">
                  <c:v>1068</c:v>
                </c:pt>
                <c:pt idx="4">
                  <c:v>1910.65</c:v>
                </c:pt>
              </c:numCache>
            </c:numRef>
          </c:val>
          <c:extLst>
            <c:ext xmlns:c16="http://schemas.microsoft.com/office/drawing/2014/chart" uri="{C3380CC4-5D6E-409C-BE32-E72D297353CC}">
              <c16:uniqueId val="{00000001-B4CD-4C62-9407-91628302EAC8}"/>
            </c:ext>
          </c:extLst>
        </c:ser>
        <c:ser>
          <c:idx val="2"/>
          <c:order val="2"/>
          <c:tx>
            <c:strRef>
              <c:f>Finance!$S$6</c:f>
              <c:strCache>
                <c:ptCount val="1"/>
                <c:pt idx="0">
                  <c:v>stock</c:v>
                </c:pt>
              </c:strCache>
            </c:strRef>
          </c:tx>
          <c:spPr>
            <a:solidFill>
              <a:schemeClr val="accent3"/>
            </a:solidFill>
            <a:ln>
              <a:noFill/>
            </a:ln>
            <a:effectLst/>
          </c:spPr>
          <c:invertIfNegative val="0"/>
          <c:cat>
            <c:strRef>
              <c:f>Finance!$T$3:$X$3</c:f>
              <c:strCache>
                <c:ptCount val="5"/>
                <c:pt idx="0">
                  <c:v>1538-52</c:v>
                </c:pt>
                <c:pt idx="1">
                  <c:v>1604-08</c:v>
                </c:pt>
                <c:pt idx="2">
                  <c:v>1664-6</c:v>
                </c:pt>
                <c:pt idx="3">
                  <c:v>1724-5</c:v>
                </c:pt>
                <c:pt idx="4">
                  <c:v>1784-5</c:v>
                </c:pt>
              </c:strCache>
            </c:strRef>
          </c:cat>
          <c:val>
            <c:numRef>
              <c:f>Finance!$T$6:$X$6</c:f>
              <c:numCache>
                <c:formatCode>0</c:formatCode>
                <c:ptCount val="5"/>
                <c:pt idx="0">
                  <c:v>41.85</c:v>
                </c:pt>
                <c:pt idx="1">
                  <c:v>55.44</c:v>
                </c:pt>
                <c:pt idx="2">
                  <c:v>24.3</c:v>
                </c:pt>
                <c:pt idx="3" formatCode="General">
                  <c:v>580</c:v>
                </c:pt>
                <c:pt idx="4">
                  <c:v>1441.6000000000001</c:v>
                </c:pt>
              </c:numCache>
            </c:numRef>
          </c:val>
          <c:extLst>
            <c:ext xmlns:c16="http://schemas.microsoft.com/office/drawing/2014/chart" uri="{C3380CC4-5D6E-409C-BE32-E72D297353CC}">
              <c16:uniqueId val="{00000002-B4CD-4C62-9407-91628302EAC8}"/>
            </c:ext>
          </c:extLst>
        </c:ser>
        <c:ser>
          <c:idx val="3"/>
          <c:order val="3"/>
          <c:tx>
            <c:strRef>
              <c:f>Finance!$S$7</c:f>
              <c:strCache>
                <c:ptCount val="1"/>
                <c:pt idx="0">
                  <c:v>yearly payment</c:v>
                </c:pt>
              </c:strCache>
            </c:strRef>
          </c:tx>
          <c:spPr>
            <a:solidFill>
              <a:schemeClr val="accent4"/>
            </a:solidFill>
            <a:ln>
              <a:noFill/>
            </a:ln>
            <a:effectLst/>
          </c:spPr>
          <c:invertIfNegative val="0"/>
          <c:cat>
            <c:strRef>
              <c:f>Finance!$T$3:$X$3</c:f>
              <c:strCache>
                <c:ptCount val="5"/>
                <c:pt idx="0">
                  <c:v>1538-52</c:v>
                </c:pt>
                <c:pt idx="1">
                  <c:v>1604-08</c:v>
                </c:pt>
                <c:pt idx="2">
                  <c:v>1664-6</c:v>
                </c:pt>
                <c:pt idx="3">
                  <c:v>1724-5</c:v>
                </c:pt>
                <c:pt idx="4">
                  <c:v>1784-5</c:v>
                </c:pt>
              </c:strCache>
            </c:strRef>
          </c:cat>
          <c:val>
            <c:numRef>
              <c:f>Finance!$T$7:$X$7</c:f>
              <c:numCache>
                <c:formatCode>0</c:formatCode>
                <c:ptCount val="5"/>
                <c:pt idx="0">
                  <c:v>762.6</c:v>
                </c:pt>
                <c:pt idx="1">
                  <c:v>1030.5899999999999</c:v>
                </c:pt>
                <c:pt idx="2">
                  <c:v>623.70000000000005</c:v>
                </c:pt>
                <c:pt idx="3" formatCode="General">
                  <c:v>670</c:v>
                </c:pt>
                <c:pt idx="4">
                  <c:v>1196.1000000000001</c:v>
                </c:pt>
              </c:numCache>
            </c:numRef>
          </c:val>
          <c:extLst>
            <c:ext xmlns:c16="http://schemas.microsoft.com/office/drawing/2014/chart" uri="{C3380CC4-5D6E-409C-BE32-E72D297353CC}">
              <c16:uniqueId val="{00000003-B4CD-4C62-9407-91628302EAC8}"/>
            </c:ext>
          </c:extLst>
        </c:ser>
        <c:ser>
          <c:idx val="4"/>
          <c:order val="4"/>
          <c:tx>
            <c:strRef>
              <c:f>Finance!$S$8</c:f>
              <c:strCache>
                <c:ptCount val="1"/>
                <c:pt idx="0">
                  <c:v>rent</c:v>
                </c:pt>
              </c:strCache>
            </c:strRef>
          </c:tx>
          <c:spPr>
            <a:solidFill>
              <a:schemeClr val="accent5"/>
            </a:solidFill>
            <a:ln>
              <a:noFill/>
            </a:ln>
            <a:effectLst/>
          </c:spPr>
          <c:invertIfNegative val="0"/>
          <c:cat>
            <c:strRef>
              <c:f>Finance!$T$3:$X$3</c:f>
              <c:strCache>
                <c:ptCount val="5"/>
                <c:pt idx="0">
                  <c:v>1538-52</c:v>
                </c:pt>
                <c:pt idx="1">
                  <c:v>1604-08</c:v>
                </c:pt>
                <c:pt idx="2">
                  <c:v>1664-6</c:v>
                </c:pt>
                <c:pt idx="3">
                  <c:v>1724-5</c:v>
                </c:pt>
                <c:pt idx="4">
                  <c:v>1784-5</c:v>
                </c:pt>
              </c:strCache>
            </c:strRef>
          </c:cat>
          <c:val>
            <c:numRef>
              <c:f>Finance!$T$8:$X$8</c:f>
              <c:numCache>
                <c:formatCode>0</c:formatCode>
                <c:ptCount val="5"/>
                <c:pt idx="0">
                  <c:v>1023.9300000000001</c:v>
                </c:pt>
                <c:pt idx="1">
                  <c:v>1557.27</c:v>
                </c:pt>
                <c:pt idx="2">
                  <c:v>877.5</c:v>
                </c:pt>
                <c:pt idx="3" formatCode="General">
                  <c:v>901</c:v>
                </c:pt>
                <c:pt idx="4">
                  <c:v>1060.5600000000002</c:v>
                </c:pt>
              </c:numCache>
            </c:numRef>
          </c:val>
          <c:extLst>
            <c:ext xmlns:c16="http://schemas.microsoft.com/office/drawing/2014/chart" uri="{C3380CC4-5D6E-409C-BE32-E72D297353CC}">
              <c16:uniqueId val="{00000004-B4CD-4C62-9407-91628302EAC8}"/>
            </c:ext>
          </c:extLst>
        </c:ser>
        <c:ser>
          <c:idx val="5"/>
          <c:order val="5"/>
          <c:tx>
            <c:strRef>
              <c:f>Finance!$S$9</c:f>
              <c:strCache>
                <c:ptCount val="1"/>
                <c:pt idx="0">
                  <c:v>securities</c:v>
                </c:pt>
              </c:strCache>
            </c:strRef>
          </c:tx>
          <c:spPr>
            <a:solidFill>
              <a:schemeClr val="accent6"/>
            </a:solidFill>
            <a:ln>
              <a:noFill/>
            </a:ln>
            <a:effectLst/>
          </c:spPr>
          <c:invertIfNegative val="0"/>
          <c:cat>
            <c:strRef>
              <c:f>Finance!$T$3:$X$3</c:f>
              <c:strCache>
                <c:ptCount val="5"/>
                <c:pt idx="0">
                  <c:v>1538-52</c:v>
                </c:pt>
                <c:pt idx="1">
                  <c:v>1604-08</c:v>
                </c:pt>
                <c:pt idx="2">
                  <c:v>1664-6</c:v>
                </c:pt>
                <c:pt idx="3">
                  <c:v>1724-5</c:v>
                </c:pt>
                <c:pt idx="4">
                  <c:v>1784-5</c:v>
                </c:pt>
              </c:strCache>
            </c:strRef>
          </c:cat>
          <c:val>
            <c:numRef>
              <c:f>Finance!$T$9:$X$9</c:f>
              <c:numCache>
                <c:formatCode>0</c:formatCode>
                <c:ptCount val="5"/>
                <c:pt idx="0">
                  <c:v>0</c:v>
                </c:pt>
                <c:pt idx="1">
                  <c:v>5.9399999999999995</c:v>
                </c:pt>
                <c:pt idx="2">
                  <c:v>22.5</c:v>
                </c:pt>
                <c:pt idx="3" formatCode="General">
                  <c:v>219</c:v>
                </c:pt>
                <c:pt idx="4">
                  <c:v>969.84</c:v>
                </c:pt>
              </c:numCache>
            </c:numRef>
          </c:val>
          <c:extLst>
            <c:ext xmlns:c16="http://schemas.microsoft.com/office/drawing/2014/chart" uri="{C3380CC4-5D6E-409C-BE32-E72D297353CC}">
              <c16:uniqueId val="{00000005-B4CD-4C62-9407-91628302EAC8}"/>
            </c:ext>
          </c:extLst>
        </c:ser>
        <c:ser>
          <c:idx val="6"/>
          <c:order val="6"/>
          <c:tx>
            <c:strRef>
              <c:f>Finance!$S$10</c:f>
              <c:strCache>
                <c:ptCount val="1"/>
                <c:pt idx="0">
                  <c:v>dividends</c:v>
                </c:pt>
              </c:strCache>
            </c:strRef>
          </c:tx>
          <c:spPr>
            <a:solidFill>
              <a:schemeClr val="accent1">
                <a:lumMod val="60000"/>
              </a:schemeClr>
            </a:solidFill>
            <a:ln>
              <a:noFill/>
            </a:ln>
            <a:effectLst/>
          </c:spPr>
          <c:invertIfNegative val="0"/>
          <c:cat>
            <c:strRef>
              <c:f>Finance!$T$3:$X$3</c:f>
              <c:strCache>
                <c:ptCount val="5"/>
                <c:pt idx="0">
                  <c:v>1538-52</c:v>
                </c:pt>
                <c:pt idx="1">
                  <c:v>1604-08</c:v>
                </c:pt>
                <c:pt idx="2">
                  <c:v>1664-6</c:v>
                </c:pt>
                <c:pt idx="3">
                  <c:v>1724-5</c:v>
                </c:pt>
                <c:pt idx="4">
                  <c:v>1784-5</c:v>
                </c:pt>
              </c:strCache>
            </c:strRef>
          </c:cat>
          <c:val>
            <c:numRef>
              <c:f>Finance!$T$10:$X$10</c:f>
              <c:numCache>
                <c:formatCode>0</c:formatCode>
                <c:ptCount val="5"/>
                <c:pt idx="0">
                  <c:v>0</c:v>
                </c:pt>
                <c:pt idx="1">
                  <c:v>0</c:v>
                </c:pt>
                <c:pt idx="2">
                  <c:v>4.5</c:v>
                </c:pt>
                <c:pt idx="3" formatCode="General">
                  <c:v>79</c:v>
                </c:pt>
                <c:pt idx="4">
                  <c:v>768.96</c:v>
                </c:pt>
              </c:numCache>
            </c:numRef>
          </c:val>
          <c:extLst>
            <c:ext xmlns:c16="http://schemas.microsoft.com/office/drawing/2014/chart" uri="{C3380CC4-5D6E-409C-BE32-E72D297353CC}">
              <c16:uniqueId val="{00000006-B4CD-4C62-9407-91628302EAC8}"/>
            </c:ext>
          </c:extLst>
        </c:ser>
        <c:ser>
          <c:idx val="7"/>
          <c:order val="7"/>
          <c:tx>
            <c:strRef>
              <c:f>Finance!$S$11</c:f>
              <c:strCache>
                <c:ptCount val="1"/>
                <c:pt idx="0">
                  <c:v>profits</c:v>
                </c:pt>
              </c:strCache>
            </c:strRef>
          </c:tx>
          <c:spPr>
            <a:solidFill>
              <a:schemeClr val="accent2">
                <a:lumMod val="60000"/>
              </a:schemeClr>
            </a:solidFill>
            <a:ln>
              <a:noFill/>
            </a:ln>
            <a:effectLst/>
          </c:spPr>
          <c:invertIfNegative val="0"/>
          <c:cat>
            <c:strRef>
              <c:f>Finance!$T$3:$X$3</c:f>
              <c:strCache>
                <c:ptCount val="5"/>
                <c:pt idx="0">
                  <c:v>1538-52</c:v>
                </c:pt>
                <c:pt idx="1">
                  <c:v>1604-08</c:v>
                </c:pt>
                <c:pt idx="2">
                  <c:v>1664-6</c:v>
                </c:pt>
                <c:pt idx="3">
                  <c:v>1724-5</c:v>
                </c:pt>
                <c:pt idx="4">
                  <c:v>1784-5</c:v>
                </c:pt>
              </c:strCache>
            </c:strRef>
          </c:cat>
          <c:val>
            <c:numRef>
              <c:f>Finance!$T$11:$X$11</c:f>
              <c:numCache>
                <c:formatCode>0</c:formatCode>
                <c:ptCount val="5"/>
                <c:pt idx="0">
                  <c:v>712.38</c:v>
                </c:pt>
                <c:pt idx="1">
                  <c:v>556.38</c:v>
                </c:pt>
                <c:pt idx="2">
                  <c:v>531.9</c:v>
                </c:pt>
                <c:pt idx="3" formatCode="General">
                  <c:v>446</c:v>
                </c:pt>
                <c:pt idx="4">
                  <c:v>499.50000000000006</c:v>
                </c:pt>
              </c:numCache>
            </c:numRef>
          </c:val>
          <c:extLst>
            <c:ext xmlns:c16="http://schemas.microsoft.com/office/drawing/2014/chart" uri="{C3380CC4-5D6E-409C-BE32-E72D297353CC}">
              <c16:uniqueId val="{00000007-B4CD-4C62-9407-91628302EAC8}"/>
            </c:ext>
          </c:extLst>
        </c:ser>
        <c:dLbls>
          <c:showLegendKey val="0"/>
          <c:showVal val="0"/>
          <c:showCatName val="0"/>
          <c:showSerName val="0"/>
          <c:showPercent val="0"/>
          <c:showBubbleSize val="0"/>
        </c:dLbls>
        <c:gapWidth val="150"/>
        <c:overlap val="100"/>
        <c:axId val="497593344"/>
        <c:axId val="497581824"/>
      </c:barChart>
      <c:catAx>
        <c:axId val="49759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581824"/>
        <c:crosses val="autoZero"/>
        <c:auto val="1"/>
        <c:lblAlgn val="ctr"/>
        <c:lblOffset val="100"/>
        <c:noMultiLvlLbl val="0"/>
      </c:catAx>
      <c:valAx>
        <c:axId val="497581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5933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111</TotalTime>
  <Pages>4</Pages>
  <Words>1048</Words>
  <Characters>4989</Characters>
  <Application>Microsoft Office Word</Application>
  <DocSecurity>0</DocSecurity>
  <Lines>712</Lines>
  <Paragraphs>670</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Jane</dc:creator>
  <cp:keywords/>
  <dc:description/>
  <cp:lastModifiedBy>Whittle, Jane</cp:lastModifiedBy>
  <cp:revision>145</cp:revision>
  <dcterms:created xsi:type="dcterms:W3CDTF">2026-02-27T12:16:00Z</dcterms:created>
  <dcterms:modified xsi:type="dcterms:W3CDTF">2026-03-02T11:29:00Z</dcterms:modified>
</cp:coreProperties>
</file>