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B704" w14:textId="60E23F23" w:rsidR="004571DB" w:rsidRPr="00E223B4" w:rsidRDefault="004571DB" w:rsidP="004571DB">
      <w:pPr>
        <w:jc w:val="center"/>
      </w:pPr>
      <w:r>
        <w:t>Fighting</w:t>
      </w:r>
      <w:r w:rsidRPr="00E223B4">
        <w:t xml:space="preserve"> for Free Enterprise: Business</w:t>
      </w:r>
      <w:r w:rsidR="0089316E">
        <w:t>, the Institute of Directors</w:t>
      </w:r>
      <w:r>
        <w:t xml:space="preserve"> and the Rise of Neoliberalism</w:t>
      </w:r>
      <w:r w:rsidRPr="00E223B4">
        <w:t xml:space="preserve"> </w:t>
      </w:r>
      <w:r w:rsidR="0089316E">
        <w:t xml:space="preserve">in Britain, </w:t>
      </w:r>
      <w:r w:rsidRPr="00E223B4">
        <w:t>1945-1979.</w:t>
      </w:r>
    </w:p>
    <w:p w14:paraId="72AFEE97" w14:textId="77777777" w:rsidR="004571DB" w:rsidRPr="00E223B4" w:rsidRDefault="004571DB" w:rsidP="004571DB">
      <w:pPr>
        <w:jc w:val="center"/>
        <w:rPr>
          <w:b/>
          <w:bCs/>
        </w:rPr>
      </w:pPr>
    </w:p>
    <w:p w14:paraId="62610466" w14:textId="77777777" w:rsidR="004571DB" w:rsidRPr="00E223B4" w:rsidRDefault="004571DB" w:rsidP="004571DB">
      <w:pPr>
        <w:jc w:val="center"/>
      </w:pPr>
      <w:r w:rsidRPr="00E223B4">
        <w:t>-</w:t>
      </w:r>
    </w:p>
    <w:p w14:paraId="3EF2AC79" w14:textId="77777777" w:rsidR="004571DB" w:rsidRPr="00E223B4" w:rsidRDefault="004571DB" w:rsidP="004571DB">
      <w:pPr>
        <w:jc w:val="center"/>
        <w:rPr>
          <w:b/>
          <w:bCs/>
        </w:rPr>
      </w:pPr>
    </w:p>
    <w:p w14:paraId="7ECF7B9D" w14:textId="77777777" w:rsidR="004571DB" w:rsidRPr="00E223B4" w:rsidRDefault="004571DB" w:rsidP="004571DB">
      <w:pPr>
        <w:jc w:val="center"/>
      </w:pPr>
      <w:r w:rsidRPr="00E223B4">
        <w:t xml:space="preserve">A </w:t>
      </w:r>
      <w:r>
        <w:t>P</w:t>
      </w:r>
      <w:r w:rsidRPr="00E223B4">
        <w:t xml:space="preserve">aper </w:t>
      </w:r>
      <w:r>
        <w:t>S</w:t>
      </w:r>
      <w:r w:rsidRPr="00E223B4">
        <w:t>ubmitted to the Economic History Society</w:t>
      </w:r>
      <w:r>
        <w:t>’s</w:t>
      </w:r>
      <w:r w:rsidRPr="00E223B4">
        <w:t xml:space="preserve"> </w:t>
      </w:r>
      <w:r>
        <w:t xml:space="preserve">New Researcher Session </w:t>
      </w:r>
      <w:r w:rsidRPr="00E223B4">
        <w:t>for the</w:t>
      </w:r>
      <w:r>
        <w:t xml:space="preserve"> 2025 Conference at the University of Strathclyde, Glasgow</w:t>
      </w:r>
    </w:p>
    <w:p w14:paraId="78C6382F" w14:textId="77777777" w:rsidR="004571DB" w:rsidRPr="00E223B4" w:rsidRDefault="004571DB" w:rsidP="004571DB">
      <w:pPr>
        <w:jc w:val="center"/>
        <w:rPr>
          <w:b/>
          <w:bCs/>
        </w:rPr>
      </w:pPr>
    </w:p>
    <w:p w14:paraId="6766508B" w14:textId="77777777" w:rsidR="004571DB" w:rsidRPr="00E223B4" w:rsidRDefault="004571DB" w:rsidP="004571DB">
      <w:pPr>
        <w:pStyle w:val="ListParagraph"/>
        <w:numPr>
          <w:ilvl w:val="0"/>
          <w:numId w:val="2"/>
        </w:numPr>
        <w:jc w:val="center"/>
        <w:rPr>
          <w:b/>
          <w:bCs/>
        </w:rPr>
      </w:pPr>
    </w:p>
    <w:p w14:paraId="5B2CCCDF" w14:textId="77777777" w:rsidR="004571DB" w:rsidRPr="00E223B4" w:rsidRDefault="004571DB" w:rsidP="004571DB">
      <w:pPr>
        <w:jc w:val="center"/>
        <w:rPr>
          <w:b/>
          <w:bCs/>
        </w:rPr>
      </w:pPr>
    </w:p>
    <w:p w14:paraId="60BC61D3" w14:textId="25FE8065" w:rsidR="004571DB" w:rsidRPr="00CC35F1" w:rsidRDefault="004571DB" w:rsidP="004571DB">
      <w:pPr>
        <w:jc w:val="center"/>
      </w:pPr>
      <w:r w:rsidRPr="00CC35F1">
        <w:t xml:space="preserve">Word </w:t>
      </w:r>
      <w:r>
        <w:t>C</w:t>
      </w:r>
      <w:r w:rsidRPr="00CC35F1">
        <w:t>ount</w:t>
      </w:r>
      <w:r>
        <w:t>:</w:t>
      </w:r>
      <w:r w:rsidRPr="00CC35F1">
        <w:t xml:space="preserve"> </w:t>
      </w:r>
      <w:r w:rsidR="0015263C">
        <w:t>2,6</w:t>
      </w:r>
      <w:r w:rsidR="00C76D9A">
        <w:t>81</w:t>
      </w:r>
    </w:p>
    <w:p w14:paraId="3601BB30" w14:textId="77777777" w:rsidR="004571DB" w:rsidRDefault="004571DB" w:rsidP="004571DB">
      <w:pPr>
        <w:jc w:val="center"/>
        <w:rPr>
          <w:u w:val="single"/>
        </w:rPr>
      </w:pPr>
    </w:p>
    <w:p w14:paraId="7B76EA9D" w14:textId="77777777" w:rsidR="004571DB" w:rsidRPr="00CC35F1" w:rsidRDefault="004571DB" w:rsidP="004571DB">
      <w:pPr>
        <w:jc w:val="center"/>
      </w:pPr>
      <w:r w:rsidRPr="00CC35F1">
        <w:t>-</w:t>
      </w:r>
    </w:p>
    <w:p w14:paraId="1C13827F" w14:textId="77777777" w:rsidR="004571DB" w:rsidRDefault="004571DB" w:rsidP="004571DB">
      <w:pPr>
        <w:jc w:val="center"/>
        <w:rPr>
          <w:b/>
          <w:bCs/>
          <w:u w:val="single"/>
        </w:rPr>
      </w:pPr>
    </w:p>
    <w:p w14:paraId="3382068C" w14:textId="77777777" w:rsidR="004571DB" w:rsidRPr="00E223B4" w:rsidRDefault="004571DB" w:rsidP="004571DB">
      <w:pPr>
        <w:jc w:val="center"/>
      </w:pPr>
      <w:r w:rsidRPr="00E223B4">
        <w:t>Joseph Moore</w:t>
      </w:r>
    </w:p>
    <w:p w14:paraId="1E41FC7B" w14:textId="77777777" w:rsidR="004571DB" w:rsidRPr="00E223B4" w:rsidRDefault="004571DB" w:rsidP="004571DB">
      <w:pPr>
        <w:jc w:val="center"/>
      </w:pPr>
      <w:r w:rsidRPr="00E223B4">
        <w:t>The University of Manchester</w:t>
      </w:r>
    </w:p>
    <w:p w14:paraId="647FC96E" w14:textId="77777777" w:rsidR="004571DB" w:rsidRDefault="004571DB" w:rsidP="004571DB">
      <w:pPr>
        <w:jc w:val="center"/>
      </w:pPr>
      <w:r>
        <w:t xml:space="preserve">Email: </w:t>
      </w:r>
      <w:hyperlink r:id="rId8" w:history="1">
        <w:r w:rsidRPr="000E2722">
          <w:rPr>
            <w:rStyle w:val="Hyperlink"/>
          </w:rPr>
          <w:t>Joseph.moore-2@postgrad.manchester.ac.uk</w:t>
        </w:r>
      </w:hyperlink>
    </w:p>
    <w:p w14:paraId="155F7D7F" w14:textId="77777777" w:rsidR="004571DB" w:rsidRPr="00E223B4" w:rsidRDefault="004571DB" w:rsidP="004571DB">
      <w:pPr>
        <w:jc w:val="center"/>
      </w:pPr>
      <w:r>
        <w:t xml:space="preserve">Twitter: </w:t>
      </w:r>
      <w:proofErr w:type="spellStart"/>
      <w:r>
        <w:t>Joedcrmoore</w:t>
      </w:r>
      <w:proofErr w:type="spellEnd"/>
    </w:p>
    <w:p w14:paraId="0B5E2045" w14:textId="77777777" w:rsidR="004571DB" w:rsidRPr="00E223B4" w:rsidRDefault="004571DB" w:rsidP="004571DB">
      <w:pPr>
        <w:jc w:val="center"/>
        <w:rPr>
          <w:u w:val="single"/>
        </w:rPr>
      </w:pPr>
    </w:p>
    <w:p w14:paraId="3508B435" w14:textId="77777777" w:rsidR="004571DB" w:rsidRDefault="004571DB" w:rsidP="004571DB">
      <w:pPr>
        <w:jc w:val="center"/>
        <w:rPr>
          <w:b/>
          <w:bCs/>
          <w:u w:val="single"/>
        </w:rPr>
      </w:pPr>
      <w:r>
        <w:rPr>
          <w:rFonts w:ascii="Helvetica" w:hAnsi="Helvetica" w:cs="Helvetica"/>
          <w:noProof/>
          <w:lang w:eastAsia="en-GB"/>
        </w:rPr>
        <w:drawing>
          <wp:inline distT="0" distB="0" distL="0" distR="0" wp14:anchorId="2CF765C0" wp14:editId="2A073039">
            <wp:extent cx="5727700" cy="2590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590165"/>
                    </a:xfrm>
                    <a:prstGeom prst="rect">
                      <a:avLst/>
                    </a:prstGeom>
                    <a:noFill/>
                    <a:ln>
                      <a:noFill/>
                    </a:ln>
                  </pic:spPr>
                </pic:pic>
              </a:graphicData>
            </a:graphic>
          </wp:inline>
        </w:drawing>
      </w:r>
    </w:p>
    <w:p w14:paraId="29F6377D" w14:textId="77777777" w:rsidR="004571DB" w:rsidRDefault="004571DB" w:rsidP="004571DB">
      <w:pPr>
        <w:jc w:val="center"/>
        <w:rPr>
          <w:b/>
          <w:bCs/>
          <w:u w:val="single"/>
        </w:rPr>
      </w:pPr>
    </w:p>
    <w:p w14:paraId="65BB6EE7" w14:textId="77777777" w:rsidR="004571DB" w:rsidRDefault="004571DB" w:rsidP="004571DB">
      <w:pPr>
        <w:jc w:val="center"/>
        <w:rPr>
          <w:b/>
          <w:bCs/>
          <w:u w:val="single"/>
        </w:rPr>
      </w:pPr>
    </w:p>
    <w:p w14:paraId="629A9278" w14:textId="77777777" w:rsidR="004571DB" w:rsidRDefault="004571DB" w:rsidP="004571DB">
      <w:pPr>
        <w:jc w:val="center"/>
        <w:rPr>
          <w:b/>
          <w:bCs/>
          <w:u w:val="single"/>
        </w:rPr>
      </w:pPr>
    </w:p>
    <w:p w14:paraId="5EF1FDC7" w14:textId="77777777" w:rsidR="004571DB" w:rsidRDefault="004571DB" w:rsidP="004571DB">
      <w:pPr>
        <w:jc w:val="center"/>
        <w:rPr>
          <w:b/>
          <w:bCs/>
          <w:u w:val="single"/>
        </w:rPr>
      </w:pPr>
    </w:p>
    <w:p w14:paraId="04A1A29F" w14:textId="77777777" w:rsidR="004571DB" w:rsidRDefault="004571DB" w:rsidP="004571DB">
      <w:pPr>
        <w:jc w:val="center"/>
        <w:rPr>
          <w:b/>
          <w:bCs/>
          <w:u w:val="single"/>
        </w:rPr>
      </w:pPr>
    </w:p>
    <w:p w14:paraId="47E873BF" w14:textId="77777777" w:rsidR="004571DB" w:rsidRDefault="004571DB" w:rsidP="004571DB">
      <w:pPr>
        <w:jc w:val="center"/>
        <w:rPr>
          <w:b/>
          <w:bCs/>
          <w:u w:val="single"/>
        </w:rPr>
      </w:pPr>
    </w:p>
    <w:p w14:paraId="3BAD32E4" w14:textId="77777777" w:rsidR="004571DB" w:rsidRDefault="004571DB" w:rsidP="004571DB">
      <w:pPr>
        <w:jc w:val="center"/>
        <w:rPr>
          <w:b/>
          <w:bCs/>
          <w:u w:val="single"/>
        </w:rPr>
      </w:pPr>
    </w:p>
    <w:p w14:paraId="7E8619C2" w14:textId="77777777" w:rsidR="004571DB" w:rsidRDefault="004571DB" w:rsidP="004571DB">
      <w:pPr>
        <w:jc w:val="center"/>
        <w:rPr>
          <w:b/>
          <w:bCs/>
          <w:u w:val="single"/>
        </w:rPr>
      </w:pPr>
    </w:p>
    <w:p w14:paraId="79972BDF" w14:textId="77777777" w:rsidR="004571DB" w:rsidRDefault="004571DB" w:rsidP="004571DB">
      <w:pPr>
        <w:jc w:val="center"/>
        <w:rPr>
          <w:b/>
          <w:bCs/>
          <w:u w:val="single"/>
        </w:rPr>
      </w:pPr>
    </w:p>
    <w:p w14:paraId="377B08B7" w14:textId="77777777" w:rsidR="004571DB" w:rsidRDefault="004571DB" w:rsidP="004571DB">
      <w:pPr>
        <w:jc w:val="center"/>
        <w:rPr>
          <w:b/>
          <w:bCs/>
          <w:u w:val="single"/>
        </w:rPr>
      </w:pPr>
    </w:p>
    <w:p w14:paraId="060A3451" w14:textId="77777777" w:rsidR="004571DB" w:rsidRDefault="004571DB" w:rsidP="004571DB">
      <w:pPr>
        <w:jc w:val="center"/>
        <w:rPr>
          <w:b/>
          <w:bCs/>
          <w:u w:val="single"/>
        </w:rPr>
      </w:pPr>
    </w:p>
    <w:p w14:paraId="5085C71D" w14:textId="77777777" w:rsidR="004571DB" w:rsidRDefault="004571DB" w:rsidP="004571DB">
      <w:pPr>
        <w:jc w:val="center"/>
        <w:rPr>
          <w:b/>
          <w:bCs/>
          <w:u w:val="single"/>
        </w:rPr>
      </w:pPr>
    </w:p>
    <w:p w14:paraId="37348C83" w14:textId="77777777" w:rsidR="004571DB" w:rsidRDefault="004571DB" w:rsidP="004571DB">
      <w:pPr>
        <w:rPr>
          <w:b/>
          <w:bCs/>
          <w:u w:val="single"/>
        </w:rPr>
      </w:pPr>
    </w:p>
    <w:p w14:paraId="75FF436C" w14:textId="77777777" w:rsidR="004571DB" w:rsidRDefault="004571DB" w:rsidP="004571DB"/>
    <w:p w14:paraId="5CCA6B29" w14:textId="77777777" w:rsidR="004571DB" w:rsidRPr="00476B95" w:rsidRDefault="004571DB" w:rsidP="004571DB">
      <w:pPr>
        <w:pStyle w:val="ListParagraph"/>
        <w:numPr>
          <w:ilvl w:val="0"/>
          <w:numId w:val="1"/>
        </w:numPr>
        <w:rPr>
          <w:b/>
          <w:bCs/>
          <w:u w:val="single"/>
        </w:rPr>
      </w:pPr>
      <w:r w:rsidRPr="00476B95">
        <w:rPr>
          <w:b/>
          <w:bCs/>
          <w:u w:val="single"/>
        </w:rPr>
        <w:lastRenderedPageBreak/>
        <w:t>Introduction</w:t>
      </w:r>
    </w:p>
    <w:p w14:paraId="7A5D3605" w14:textId="77777777" w:rsidR="004571DB" w:rsidRDefault="004571DB" w:rsidP="004571DB">
      <w:pPr>
        <w:rPr>
          <w:b/>
          <w:bCs/>
          <w:u w:val="single"/>
        </w:rPr>
      </w:pPr>
    </w:p>
    <w:p w14:paraId="64EE601D" w14:textId="77777777" w:rsidR="004571DB" w:rsidRDefault="004571DB" w:rsidP="004571DB">
      <w:pPr>
        <w:pStyle w:val="ListParagraph"/>
        <w:numPr>
          <w:ilvl w:val="1"/>
          <w:numId w:val="1"/>
        </w:numPr>
        <w:rPr>
          <w:b/>
          <w:bCs/>
        </w:rPr>
      </w:pPr>
      <w:r>
        <w:rPr>
          <w:b/>
          <w:bCs/>
        </w:rPr>
        <w:t>–</w:t>
      </w:r>
      <w:r w:rsidRPr="00C81646">
        <w:rPr>
          <w:b/>
          <w:bCs/>
        </w:rPr>
        <w:t xml:space="preserve"> Historiography</w:t>
      </w:r>
    </w:p>
    <w:p w14:paraId="27EA33F2" w14:textId="77777777" w:rsidR="004571DB" w:rsidRDefault="004571DB" w:rsidP="004571DB">
      <w:pPr>
        <w:rPr>
          <w:b/>
          <w:bCs/>
        </w:rPr>
      </w:pPr>
    </w:p>
    <w:p w14:paraId="66C6F250" w14:textId="4C4823AD" w:rsidR="004571DB" w:rsidRPr="00163506" w:rsidRDefault="004571DB" w:rsidP="004571DB">
      <w:r w:rsidRPr="00C81646">
        <w:t xml:space="preserve">For </w:t>
      </w:r>
      <w:r w:rsidR="002A30B5">
        <w:t xml:space="preserve">economic and political </w:t>
      </w:r>
      <w:r w:rsidRPr="00C81646">
        <w:t>historians of 20</w:t>
      </w:r>
      <w:r w:rsidRPr="00C81646">
        <w:rPr>
          <w:vertAlign w:val="superscript"/>
        </w:rPr>
        <w:t>th</w:t>
      </w:r>
      <w:r w:rsidRPr="00C81646">
        <w:t xml:space="preserve"> Century Britain</w:t>
      </w:r>
      <w:r w:rsidR="002A30B5">
        <w:t xml:space="preserve"> alike</w:t>
      </w:r>
      <w:r w:rsidRPr="00C81646">
        <w:t>, the</w:t>
      </w:r>
      <w:r>
        <w:t xml:space="preserve"> transition from </w:t>
      </w:r>
      <w:r w:rsidR="008941FE">
        <w:t>a broadly Keynesian social democratic econom</w:t>
      </w:r>
      <w:r w:rsidR="008335E4">
        <w:t>y</w:t>
      </w:r>
      <w:r w:rsidR="00627C1D">
        <w:t xml:space="preserve"> characterised by nationalised industries, strong trade unions, a welfare state, regulation and high levels of taxation,</w:t>
      </w:r>
      <w:r w:rsidR="008941FE">
        <w:t xml:space="preserve"> to </w:t>
      </w:r>
      <w:r w:rsidR="008335E4">
        <w:t>a ‘</w:t>
      </w:r>
      <w:r w:rsidR="008941FE">
        <w:t xml:space="preserve">neoliberal </w:t>
      </w:r>
      <w:r w:rsidR="008335E4">
        <w:t>age’</w:t>
      </w:r>
      <w:r w:rsidR="008941FE">
        <w:t xml:space="preserve"> </w:t>
      </w:r>
      <w:r w:rsidR="00627C1D">
        <w:t xml:space="preserve">that saw this policy paradigm dismantled in the name of induvial freedom </w:t>
      </w:r>
      <w:r w:rsidR="008941FE">
        <w:t>has been the subject of significant interest.</w:t>
      </w:r>
      <w:r w:rsidR="00B5775A">
        <w:rPr>
          <w:rStyle w:val="FootnoteReference"/>
        </w:rPr>
        <w:footnoteReference w:id="1"/>
      </w:r>
      <w:r w:rsidR="008941FE">
        <w:t xml:space="preserve"> </w:t>
      </w:r>
      <w:r w:rsidRPr="00540773">
        <w:rPr>
          <w:color w:val="000000" w:themeColor="text1"/>
        </w:rPr>
        <w:t>Existing scholarship has identified a number of factors behind the emergence of neo-liberalism</w:t>
      </w:r>
      <w:r>
        <w:rPr>
          <w:color w:val="000000" w:themeColor="text1"/>
        </w:rPr>
        <w:t xml:space="preserve"> in post-war Britain</w:t>
      </w:r>
      <w:r w:rsidRPr="00540773">
        <w:rPr>
          <w:color w:val="000000" w:themeColor="text1"/>
        </w:rPr>
        <w:t>. One school of thought sees the root cause in the economic t</w:t>
      </w:r>
      <w:r>
        <w:rPr>
          <w:color w:val="000000" w:themeColor="text1"/>
        </w:rPr>
        <w:t>roubles</w:t>
      </w:r>
      <w:r w:rsidRPr="00540773">
        <w:rPr>
          <w:color w:val="000000" w:themeColor="text1"/>
        </w:rPr>
        <w:t xml:space="preserve"> of the 1970s</w:t>
      </w:r>
      <w:r>
        <w:rPr>
          <w:rStyle w:val="FootnoteReference"/>
          <w:color w:val="000000" w:themeColor="text1"/>
        </w:rPr>
        <w:footnoteReference w:id="2"/>
      </w:r>
      <w:r w:rsidRPr="00540773">
        <w:rPr>
          <w:color w:val="000000" w:themeColor="text1"/>
        </w:rPr>
        <w:t>, while another argues that grassroots pressure groups played a significant role.</w:t>
      </w:r>
      <w:r>
        <w:rPr>
          <w:rStyle w:val="FootnoteReference"/>
          <w:color w:val="000000" w:themeColor="text1"/>
        </w:rPr>
        <w:footnoteReference w:id="3"/>
      </w:r>
      <w:r w:rsidRPr="00540773">
        <w:rPr>
          <w:color w:val="000000" w:themeColor="text1"/>
        </w:rPr>
        <w:t xml:space="preserve"> Some have highlighted long-term social trends</w:t>
      </w:r>
      <w:r>
        <w:rPr>
          <w:rStyle w:val="FootnoteReference"/>
          <w:color w:val="000000" w:themeColor="text1"/>
        </w:rPr>
        <w:footnoteReference w:id="4"/>
      </w:r>
      <w:r>
        <w:rPr>
          <w:color w:val="000000" w:themeColor="text1"/>
        </w:rPr>
        <w:t xml:space="preserve"> </w:t>
      </w:r>
      <w:r w:rsidRPr="00540773">
        <w:rPr>
          <w:color w:val="000000" w:themeColor="text1"/>
        </w:rPr>
        <w:t>while others have emphasi</w:t>
      </w:r>
      <w:r>
        <w:rPr>
          <w:color w:val="000000" w:themeColor="text1"/>
        </w:rPr>
        <w:t>s</w:t>
      </w:r>
      <w:r w:rsidRPr="00540773">
        <w:rPr>
          <w:color w:val="000000" w:themeColor="text1"/>
        </w:rPr>
        <w:t>ed the importan</w:t>
      </w:r>
      <w:r>
        <w:rPr>
          <w:color w:val="000000" w:themeColor="text1"/>
        </w:rPr>
        <w:t xml:space="preserve">ce of </w:t>
      </w:r>
      <w:r w:rsidRPr="00540773">
        <w:rPr>
          <w:color w:val="000000" w:themeColor="text1"/>
        </w:rPr>
        <w:t>think tanks and intellectuals</w:t>
      </w:r>
      <w:r>
        <w:rPr>
          <w:color w:val="000000" w:themeColor="text1"/>
        </w:rPr>
        <w:t>.</w:t>
      </w:r>
      <w:r>
        <w:rPr>
          <w:rStyle w:val="FootnoteReference"/>
          <w:color w:val="000000" w:themeColor="text1"/>
        </w:rPr>
        <w:footnoteReference w:id="5"/>
      </w:r>
      <w:r>
        <w:rPr>
          <w:color w:val="000000" w:themeColor="text1"/>
        </w:rPr>
        <w:t xml:space="preserve"> However, </w:t>
      </w:r>
      <w:r>
        <w:t xml:space="preserve">what is often absent in many of these accounts, particularly those that focus on certain individuals and organisations that were promoting neoliberal ideas, is that they required a considerable amount of long term finance. </w:t>
      </w:r>
    </w:p>
    <w:p w14:paraId="794AD461" w14:textId="77777777" w:rsidR="004571DB" w:rsidRDefault="004571DB" w:rsidP="004571DB"/>
    <w:p w14:paraId="66A4709F" w14:textId="77777777" w:rsidR="000F2BAE" w:rsidRDefault="004571DB" w:rsidP="004571DB">
      <w:pPr>
        <w:rPr>
          <w:rFonts w:cs="Helvetica Neue"/>
          <w:color w:val="000000"/>
        </w:rPr>
      </w:pPr>
      <w:r>
        <w:t xml:space="preserve">More recently, historians have begun to scratch the surface of this phenomenon, analysing how advocates of neoliberalism were able to disseminate their ideas more effectively by highlighting the role that members of the business community played as activists and financiers of neoliberal ideas. </w:t>
      </w:r>
      <w:r>
        <w:rPr>
          <w:rFonts w:cs="Helvetica Neue"/>
          <w:color w:val="000000"/>
        </w:rPr>
        <w:t xml:space="preserve">Ben Jackson has detailed how the business community provided significant financial support to the Institute of Economic Affairs, a think tank dedicated to creating intellectual credibility for neoliberal ideas, providing them with an income of </w:t>
      </w:r>
      <w:r w:rsidRPr="002F40C4">
        <w:rPr>
          <w:rFonts w:cs="Helvetica Neue"/>
          <w:color w:val="000000"/>
        </w:rPr>
        <w:t>£267,040</w:t>
      </w:r>
      <w:r>
        <w:rPr>
          <w:rFonts w:cs="Helvetica Neue"/>
          <w:color w:val="000000"/>
        </w:rPr>
        <w:t xml:space="preserve"> </w:t>
      </w:r>
      <w:r w:rsidR="0089316E">
        <w:rPr>
          <w:rFonts w:cs="Helvetica Neue"/>
          <w:color w:val="000000"/>
        </w:rPr>
        <w:t xml:space="preserve">per year </w:t>
      </w:r>
      <w:r>
        <w:rPr>
          <w:rFonts w:cs="Helvetica Neue"/>
          <w:color w:val="000000"/>
        </w:rPr>
        <w:t>by 1981.</w:t>
      </w:r>
      <w:r>
        <w:rPr>
          <w:rStyle w:val="FootnoteReference"/>
          <w:rFonts w:cs="Helvetica Neue"/>
          <w:color w:val="000000"/>
        </w:rPr>
        <w:footnoteReference w:id="6"/>
      </w:r>
      <w:r>
        <w:rPr>
          <w:rFonts w:cs="Helvetica Neue"/>
          <w:color w:val="000000"/>
        </w:rPr>
        <w:t xml:space="preserve"> </w:t>
      </w:r>
      <w:r w:rsidRPr="00CB2417">
        <w:rPr>
          <w:rFonts w:cs="Helvetica Neue"/>
          <w:color w:val="000000"/>
        </w:rPr>
        <w:t xml:space="preserve">Neil Rollings has </w:t>
      </w:r>
      <w:r>
        <w:rPr>
          <w:rFonts w:cs="Helvetica Neue"/>
          <w:color w:val="000000"/>
        </w:rPr>
        <w:t>documented</w:t>
      </w:r>
      <w:r w:rsidRPr="00CB2417">
        <w:rPr>
          <w:rFonts w:cs="Helvetica Neue"/>
          <w:color w:val="000000"/>
        </w:rPr>
        <w:t xml:space="preserve"> the work done by a collective of businessmen through the Industrial Policy Group (IPG), formed in 19</w:t>
      </w:r>
      <w:r>
        <w:rPr>
          <w:rFonts w:cs="Helvetica Neue"/>
          <w:color w:val="000000"/>
        </w:rPr>
        <w:t>67</w:t>
      </w:r>
      <w:r w:rsidRPr="00CB2417">
        <w:rPr>
          <w:rFonts w:cs="Helvetica Neue"/>
          <w:color w:val="000000"/>
        </w:rPr>
        <w:t>, which</w:t>
      </w:r>
      <w:r>
        <w:rPr>
          <w:rFonts w:cs="Helvetica Neue"/>
          <w:color w:val="000000"/>
        </w:rPr>
        <w:t xml:space="preserve"> pursued a similar agenda to the IEA</w:t>
      </w:r>
      <w:r w:rsidRPr="00CB2417">
        <w:rPr>
          <w:rFonts w:cs="Helvetica Neue"/>
          <w:color w:val="000000"/>
        </w:rPr>
        <w:t>.</w:t>
      </w:r>
      <w:r w:rsidRPr="00CB2417">
        <w:rPr>
          <w:rFonts w:cs="Helvetica Neue"/>
          <w:color w:val="000000"/>
          <w:vertAlign w:val="superscript"/>
        </w:rPr>
        <w:footnoteReference w:id="7"/>
      </w:r>
      <w:r w:rsidR="000F2BAE">
        <w:rPr>
          <w:rFonts w:cs="Helvetica Neue"/>
          <w:color w:val="000000"/>
        </w:rPr>
        <w:t xml:space="preserve"> </w:t>
      </w:r>
    </w:p>
    <w:p w14:paraId="775829F5" w14:textId="77777777" w:rsidR="000F2BAE" w:rsidRDefault="000F2BAE" w:rsidP="004571DB">
      <w:pPr>
        <w:rPr>
          <w:rFonts w:cs="Helvetica Neue"/>
          <w:color w:val="000000"/>
        </w:rPr>
      </w:pPr>
    </w:p>
    <w:p w14:paraId="149F0CA1" w14:textId="417ABC57" w:rsidR="00A35634" w:rsidRDefault="000F2BAE" w:rsidP="004571DB">
      <w:pPr>
        <w:rPr>
          <w:rFonts w:cs="Helvetica Neue"/>
          <w:color w:val="000000"/>
        </w:rPr>
      </w:pPr>
      <w:r>
        <w:rPr>
          <w:rFonts w:cs="Helvetica Neue"/>
          <w:color w:val="000000"/>
        </w:rPr>
        <w:t xml:space="preserve">However, </w:t>
      </w:r>
      <w:r w:rsidR="006933E8">
        <w:rPr>
          <w:rFonts w:cs="Helvetica Neue"/>
          <w:color w:val="000000"/>
        </w:rPr>
        <w:t>these works have only just begun to unearth the true extent of the business community in promoting neoliberal ideas in the post</w:t>
      </w:r>
      <w:r w:rsidR="00EC6B62">
        <w:rPr>
          <w:rFonts w:cs="Helvetica Neue"/>
          <w:color w:val="000000"/>
        </w:rPr>
        <w:t>-</w:t>
      </w:r>
      <w:r w:rsidR="006933E8">
        <w:rPr>
          <w:rFonts w:cs="Helvetica Neue"/>
          <w:color w:val="000000"/>
        </w:rPr>
        <w:t xml:space="preserve">war period. </w:t>
      </w:r>
      <w:r>
        <w:rPr>
          <w:rFonts w:cs="Helvetica Neue"/>
          <w:color w:val="000000"/>
        </w:rPr>
        <w:t>What has yet to be acknowledged and fully analysed is that t</w:t>
      </w:r>
      <w:r w:rsidR="006933E8">
        <w:rPr>
          <w:rFonts w:cs="Helvetica Neue"/>
          <w:color w:val="000000"/>
        </w:rPr>
        <w:t xml:space="preserve">he donors to these groups </w:t>
      </w:r>
      <w:r>
        <w:rPr>
          <w:rFonts w:cs="Helvetica Neue"/>
          <w:color w:val="000000"/>
        </w:rPr>
        <w:t>were</w:t>
      </w:r>
      <w:r w:rsidR="006A2142">
        <w:rPr>
          <w:rFonts w:cs="Helvetica Neue"/>
          <w:color w:val="000000"/>
        </w:rPr>
        <w:t xml:space="preserve"> part of a much broader </w:t>
      </w:r>
      <w:r w:rsidR="00430CA7">
        <w:rPr>
          <w:rFonts w:cs="Helvetica Neue"/>
          <w:color w:val="000000"/>
        </w:rPr>
        <w:t xml:space="preserve">co-ordinated </w:t>
      </w:r>
      <w:r w:rsidR="006A2142">
        <w:rPr>
          <w:rFonts w:cs="Helvetica Neue"/>
          <w:color w:val="000000"/>
        </w:rPr>
        <w:t xml:space="preserve">network of business figures that were engaged in the </w:t>
      </w:r>
      <w:r w:rsidR="00D6421A">
        <w:rPr>
          <w:rFonts w:cs="Helvetica Neue"/>
          <w:color w:val="000000"/>
        </w:rPr>
        <w:t xml:space="preserve">consistent </w:t>
      </w:r>
      <w:r w:rsidR="006A2142">
        <w:rPr>
          <w:rFonts w:cs="Helvetica Neue"/>
          <w:color w:val="000000"/>
        </w:rPr>
        <w:t>promotion of neoliberal ideas in the post-war period</w:t>
      </w:r>
      <w:r>
        <w:rPr>
          <w:rFonts w:cs="Helvetica Neue"/>
          <w:color w:val="000000"/>
        </w:rPr>
        <w:t xml:space="preserve">. This network founded and financed </w:t>
      </w:r>
      <w:r w:rsidR="00D6438D">
        <w:rPr>
          <w:rFonts w:cs="Helvetica Neue"/>
          <w:color w:val="000000"/>
        </w:rPr>
        <w:t xml:space="preserve">institutions such as the IEA and IPG, but also others like the Conservative Party think tank, the Centre for Policy Studies (CPS), </w:t>
      </w:r>
      <w:r>
        <w:rPr>
          <w:rFonts w:cs="Helvetica Neue"/>
          <w:color w:val="000000"/>
        </w:rPr>
        <w:t>that were central to building support for neoliberalism</w:t>
      </w:r>
      <w:r w:rsidR="00D6438D">
        <w:rPr>
          <w:rFonts w:cs="Helvetica Neue"/>
          <w:color w:val="000000"/>
        </w:rPr>
        <w:t>.</w:t>
      </w:r>
      <w:r w:rsidR="001B1483">
        <w:rPr>
          <w:rFonts w:cs="Helvetica Neue"/>
          <w:color w:val="000000"/>
        </w:rPr>
        <w:t xml:space="preserve"> </w:t>
      </w:r>
      <w:r w:rsidR="00430CA7">
        <w:rPr>
          <w:rFonts w:cs="Helvetica Neue"/>
          <w:color w:val="000000"/>
        </w:rPr>
        <w:t xml:space="preserve">As well as financing the institutions of neoliberalism, this network also shaped their strategies and development through their experiments </w:t>
      </w:r>
      <w:r>
        <w:rPr>
          <w:rFonts w:cs="Helvetica Neue"/>
          <w:color w:val="000000"/>
        </w:rPr>
        <w:t xml:space="preserve">with different methods of advocacy using their considerable financial resources. </w:t>
      </w:r>
    </w:p>
    <w:p w14:paraId="04ED9898" w14:textId="2A03A330" w:rsidR="00430CA7" w:rsidRDefault="00430CA7" w:rsidP="004571DB">
      <w:pPr>
        <w:rPr>
          <w:rFonts w:cs="Helvetica Neue"/>
          <w:color w:val="000000"/>
        </w:rPr>
      </w:pPr>
    </w:p>
    <w:p w14:paraId="6898231B" w14:textId="7973D64A" w:rsidR="00430CA7" w:rsidRPr="00430CA7" w:rsidRDefault="00430CA7" w:rsidP="004571DB">
      <w:pPr>
        <w:rPr>
          <w:rFonts w:cs="Helvetica Neue"/>
          <w:b/>
          <w:bCs/>
          <w:color w:val="000000"/>
        </w:rPr>
      </w:pPr>
      <w:r w:rsidRPr="00430CA7">
        <w:rPr>
          <w:rFonts w:cs="Helvetica Neue"/>
          <w:b/>
          <w:bCs/>
          <w:color w:val="000000"/>
        </w:rPr>
        <w:t>1.2 Sources Method and Argument</w:t>
      </w:r>
    </w:p>
    <w:p w14:paraId="27DF448C" w14:textId="3B5564F5" w:rsidR="000F2BAE" w:rsidRDefault="000F2BAE" w:rsidP="004571DB">
      <w:pPr>
        <w:rPr>
          <w:rFonts w:cs="Helvetica Neue"/>
          <w:color w:val="000000"/>
        </w:rPr>
      </w:pPr>
    </w:p>
    <w:p w14:paraId="0B70FCCD" w14:textId="0B75ECC3" w:rsidR="00617745" w:rsidRDefault="000F2BAE" w:rsidP="004571DB">
      <w:pPr>
        <w:rPr>
          <w:color w:val="000000" w:themeColor="text1"/>
        </w:rPr>
      </w:pPr>
      <w:r>
        <w:rPr>
          <w:rFonts w:cs="Helvetica Neue"/>
          <w:color w:val="000000"/>
        </w:rPr>
        <w:t>This paper will explore t</w:t>
      </w:r>
      <w:r w:rsidR="00D6438D">
        <w:rPr>
          <w:rFonts w:cs="Helvetica Neue"/>
          <w:color w:val="000000"/>
        </w:rPr>
        <w:t xml:space="preserve">he </w:t>
      </w:r>
      <w:r w:rsidR="003F28D2">
        <w:rPr>
          <w:rFonts w:cs="Helvetica Neue"/>
          <w:color w:val="000000"/>
        </w:rPr>
        <w:t xml:space="preserve">creation and </w:t>
      </w:r>
      <w:r w:rsidR="00D6438D">
        <w:rPr>
          <w:rFonts w:cs="Helvetica Neue"/>
          <w:color w:val="000000"/>
        </w:rPr>
        <w:t>emergence of this network and its subsequent role in shaping the development of</w:t>
      </w:r>
      <w:r w:rsidR="0068622B">
        <w:rPr>
          <w:rFonts w:cs="Helvetica Neue"/>
          <w:color w:val="000000"/>
        </w:rPr>
        <w:t xml:space="preserve"> the prominent</w:t>
      </w:r>
      <w:r w:rsidR="00D6438D">
        <w:rPr>
          <w:rFonts w:cs="Helvetica Neue"/>
          <w:color w:val="000000"/>
        </w:rPr>
        <w:t xml:space="preserve"> institutions </w:t>
      </w:r>
      <w:r w:rsidR="0068622B">
        <w:rPr>
          <w:rFonts w:cs="Helvetica Neue"/>
          <w:color w:val="000000"/>
        </w:rPr>
        <w:t>of neoliberal thought</w:t>
      </w:r>
      <w:r w:rsidR="0027033A">
        <w:rPr>
          <w:rFonts w:cs="Helvetica Neue"/>
          <w:color w:val="000000"/>
        </w:rPr>
        <w:t>,</w:t>
      </w:r>
      <w:r w:rsidR="0068622B">
        <w:rPr>
          <w:rFonts w:cs="Helvetica Neue"/>
          <w:color w:val="000000"/>
        </w:rPr>
        <w:t xml:space="preserve"> </w:t>
      </w:r>
      <w:r w:rsidR="00D6438D">
        <w:rPr>
          <w:rFonts w:cs="Helvetica Neue"/>
          <w:color w:val="000000"/>
        </w:rPr>
        <w:t>such as the IEA and the IPG</w:t>
      </w:r>
      <w:r w:rsidR="001719C7">
        <w:rPr>
          <w:rFonts w:cs="Helvetica Neue"/>
          <w:color w:val="000000"/>
        </w:rPr>
        <w:t>,</w:t>
      </w:r>
      <w:r>
        <w:rPr>
          <w:rFonts w:cs="Helvetica Neue"/>
          <w:color w:val="000000"/>
        </w:rPr>
        <w:t xml:space="preserve"> through the lens of the Institute of Directors</w:t>
      </w:r>
      <w:r w:rsidR="005A573E">
        <w:rPr>
          <w:rFonts w:cs="Helvetica Neue"/>
          <w:color w:val="000000"/>
        </w:rPr>
        <w:t xml:space="preserve"> (</w:t>
      </w:r>
      <w:proofErr w:type="spellStart"/>
      <w:r w:rsidR="005A573E">
        <w:rPr>
          <w:rFonts w:cs="Helvetica Neue"/>
          <w:color w:val="000000"/>
        </w:rPr>
        <w:t>IoD</w:t>
      </w:r>
      <w:proofErr w:type="spellEnd"/>
      <w:r w:rsidR="005A573E">
        <w:rPr>
          <w:rFonts w:cs="Helvetica Neue"/>
          <w:color w:val="000000"/>
        </w:rPr>
        <w:t>)</w:t>
      </w:r>
      <w:r w:rsidR="00430CA7">
        <w:rPr>
          <w:rFonts w:cs="Helvetica Neue"/>
          <w:color w:val="000000"/>
        </w:rPr>
        <w:t xml:space="preserve">, </w:t>
      </w:r>
      <w:r w:rsidR="00430CA7">
        <w:t xml:space="preserve">a political advocacy group run by business figures that sought to promote neoliberal ideas between 1945 and 1979. To do so, it takes a qualitative approach rooted in </w:t>
      </w:r>
      <w:r w:rsidR="008D3F91">
        <w:t xml:space="preserve">extensive </w:t>
      </w:r>
      <w:r w:rsidR="00430CA7">
        <w:t xml:space="preserve">archival research, drawing on the previously unused papers of Edward Spears, </w:t>
      </w:r>
      <w:r w:rsidR="00430CA7">
        <w:rPr>
          <w:color w:val="000000" w:themeColor="text1"/>
        </w:rPr>
        <w:t xml:space="preserve">the </w:t>
      </w:r>
      <w:proofErr w:type="spellStart"/>
      <w:r w:rsidR="00430CA7">
        <w:rPr>
          <w:color w:val="000000" w:themeColor="text1"/>
        </w:rPr>
        <w:t>IoD’s</w:t>
      </w:r>
      <w:proofErr w:type="spellEnd"/>
      <w:r w:rsidR="00430CA7">
        <w:rPr>
          <w:color w:val="000000" w:themeColor="text1"/>
        </w:rPr>
        <w:t xml:space="preserve"> Director between 1948 and 1964</w:t>
      </w:r>
      <w:r w:rsidR="0027033A">
        <w:rPr>
          <w:color w:val="000000" w:themeColor="text1"/>
        </w:rPr>
        <w:t>,</w:t>
      </w:r>
      <w:r w:rsidR="00430CA7">
        <w:rPr>
          <w:color w:val="000000" w:themeColor="text1"/>
        </w:rPr>
        <w:t xml:space="preserve"> as well as records from the IEA’s archive in California. </w:t>
      </w:r>
      <w:r w:rsidR="005A573E">
        <w:rPr>
          <w:color w:val="000000" w:themeColor="text1"/>
        </w:rPr>
        <w:t xml:space="preserve">These archival sources </w:t>
      </w:r>
      <w:r w:rsidR="00430CA7">
        <w:rPr>
          <w:color w:val="000000" w:themeColor="text1"/>
        </w:rPr>
        <w:t xml:space="preserve">are used to craft a case study of the </w:t>
      </w:r>
      <w:proofErr w:type="spellStart"/>
      <w:r w:rsidR="00430CA7">
        <w:rPr>
          <w:color w:val="000000" w:themeColor="text1"/>
        </w:rPr>
        <w:t>IoD</w:t>
      </w:r>
      <w:proofErr w:type="spellEnd"/>
      <w:r w:rsidR="00430CA7">
        <w:rPr>
          <w:color w:val="000000" w:themeColor="text1"/>
        </w:rPr>
        <w:t xml:space="preserve"> which provides a unique insight into its activities, methods and members in the immediate post-war period. </w:t>
      </w:r>
    </w:p>
    <w:p w14:paraId="5891D4CE" w14:textId="77777777" w:rsidR="00617745" w:rsidRDefault="00617745" w:rsidP="004571DB">
      <w:pPr>
        <w:rPr>
          <w:color w:val="000000" w:themeColor="text1"/>
        </w:rPr>
      </w:pPr>
    </w:p>
    <w:p w14:paraId="3C6FDFC7" w14:textId="36079CD2" w:rsidR="004571DB" w:rsidRDefault="00430CA7" w:rsidP="004571DB">
      <w:pPr>
        <w:rPr>
          <w:rFonts w:cs="Helvetica Neue"/>
          <w:color w:val="000000"/>
        </w:rPr>
      </w:pPr>
      <w:r>
        <w:rPr>
          <w:color w:val="000000" w:themeColor="text1"/>
        </w:rPr>
        <w:t xml:space="preserve">The paper argues that the </w:t>
      </w:r>
      <w:proofErr w:type="spellStart"/>
      <w:r>
        <w:rPr>
          <w:color w:val="000000" w:themeColor="text1"/>
        </w:rPr>
        <w:t>IoD</w:t>
      </w:r>
      <w:proofErr w:type="spellEnd"/>
      <w:r>
        <w:rPr>
          <w:color w:val="000000" w:themeColor="text1"/>
        </w:rPr>
        <w:t xml:space="preserve"> emerged as a response to a lack of opposition to post-war social democracy from nations major business lobbies</w:t>
      </w:r>
      <w:r w:rsidR="00CB7DAC">
        <w:rPr>
          <w:color w:val="000000" w:themeColor="text1"/>
        </w:rPr>
        <w:t>,</w:t>
      </w:r>
      <w:r>
        <w:rPr>
          <w:color w:val="000000" w:themeColor="text1"/>
        </w:rPr>
        <w:t xml:space="preserve"> such as the FBI and Chamber of Commerce. In this context</w:t>
      </w:r>
      <w:r w:rsidR="00CB7DAC">
        <w:rPr>
          <w:color w:val="000000" w:themeColor="text1"/>
        </w:rPr>
        <w:t>,</w:t>
      </w:r>
      <w:r>
        <w:rPr>
          <w:color w:val="000000" w:themeColor="text1"/>
        </w:rPr>
        <w:t xml:space="preserve"> the </w:t>
      </w:r>
      <w:proofErr w:type="spellStart"/>
      <w:r>
        <w:rPr>
          <w:color w:val="000000" w:themeColor="text1"/>
        </w:rPr>
        <w:t>IoD</w:t>
      </w:r>
      <w:proofErr w:type="spellEnd"/>
      <w:r>
        <w:rPr>
          <w:color w:val="000000" w:themeColor="text1"/>
        </w:rPr>
        <w:t xml:space="preserve"> </w:t>
      </w:r>
      <w:r w:rsidR="005A573E">
        <w:rPr>
          <w:color w:val="000000" w:themeColor="text1"/>
        </w:rPr>
        <w:t xml:space="preserve">created a network of business figures committed to promoting neoliberalism </w:t>
      </w:r>
      <w:r>
        <w:rPr>
          <w:color w:val="000000" w:themeColor="text1"/>
        </w:rPr>
        <w:t xml:space="preserve">and </w:t>
      </w:r>
      <w:r>
        <w:rPr>
          <w:rFonts w:cs="Helvetica Neue"/>
          <w:color w:val="000000"/>
        </w:rPr>
        <w:t>provid</w:t>
      </w:r>
      <w:r w:rsidR="005A573E">
        <w:rPr>
          <w:rFonts w:cs="Helvetica Neue"/>
          <w:color w:val="000000"/>
        </w:rPr>
        <w:t>ed</w:t>
      </w:r>
      <w:r>
        <w:rPr>
          <w:rFonts w:cs="Helvetica Neue"/>
          <w:color w:val="000000"/>
        </w:rPr>
        <w:t xml:space="preserve"> a platform for them to experiment with different methods of opposition to post-war social democracy.</w:t>
      </w:r>
      <w:r w:rsidR="005A573E">
        <w:rPr>
          <w:rFonts w:cs="Helvetica Neue"/>
          <w:color w:val="000000"/>
        </w:rPr>
        <w:t xml:space="preserve"> </w:t>
      </w:r>
      <w:r w:rsidR="00C20723">
        <w:rPr>
          <w:rFonts w:cs="Helvetica Neue"/>
          <w:color w:val="000000"/>
        </w:rPr>
        <w:t xml:space="preserve">In doing so, it expands the scholarship on the relationship between business and neoliberalism, demonstrating it has a longer history and that </w:t>
      </w:r>
      <w:r w:rsidR="001719C7">
        <w:rPr>
          <w:rFonts w:cs="Helvetica Neue"/>
          <w:color w:val="000000"/>
        </w:rPr>
        <w:t>this longer history shows the level of</w:t>
      </w:r>
      <w:r w:rsidR="00F24578">
        <w:rPr>
          <w:rFonts w:cs="Helvetica Neue"/>
          <w:color w:val="000000"/>
        </w:rPr>
        <w:t xml:space="preserve"> business</w:t>
      </w:r>
      <w:r w:rsidR="001719C7">
        <w:rPr>
          <w:rFonts w:cs="Helvetica Neue"/>
          <w:color w:val="000000"/>
        </w:rPr>
        <w:t xml:space="preserve"> involvement</w:t>
      </w:r>
      <w:r w:rsidR="00C20723">
        <w:rPr>
          <w:rFonts w:cs="Helvetica Neue"/>
          <w:color w:val="000000"/>
        </w:rPr>
        <w:t xml:space="preserve"> was</w:t>
      </w:r>
      <w:r w:rsidR="00F24578">
        <w:rPr>
          <w:rFonts w:cs="Helvetica Neue"/>
          <w:color w:val="000000"/>
        </w:rPr>
        <w:t xml:space="preserve"> more numerically significant</w:t>
      </w:r>
      <w:r w:rsidR="00C20723">
        <w:rPr>
          <w:rFonts w:cs="Helvetica Neue"/>
          <w:color w:val="000000"/>
        </w:rPr>
        <w:t xml:space="preserve"> and more committed to spreading neoliberal ideas than has previously been assumed. </w:t>
      </w:r>
      <w:r w:rsidR="00F9545C">
        <w:rPr>
          <w:rFonts w:cs="Helvetica Neue"/>
          <w:color w:val="000000"/>
        </w:rPr>
        <w:t xml:space="preserve">As a consequence of these factors, the paper </w:t>
      </w:r>
      <w:r w:rsidR="00EC6B62">
        <w:rPr>
          <w:rFonts w:cs="Helvetica Neue"/>
          <w:color w:val="000000"/>
        </w:rPr>
        <w:t xml:space="preserve">shows how </w:t>
      </w:r>
      <w:r w:rsidR="00F9545C">
        <w:rPr>
          <w:rFonts w:cs="Helvetica Neue"/>
          <w:color w:val="000000"/>
        </w:rPr>
        <w:t>t</w:t>
      </w:r>
      <w:r w:rsidR="00C20723">
        <w:rPr>
          <w:rFonts w:cs="Helvetica Neue"/>
          <w:color w:val="000000"/>
        </w:rPr>
        <w:t xml:space="preserve">he </w:t>
      </w:r>
      <w:r w:rsidR="00A64835">
        <w:rPr>
          <w:rFonts w:cs="Helvetica Neue"/>
          <w:color w:val="000000"/>
        </w:rPr>
        <w:t>business community was essential to the development and success of neoliberalism in Britain</w:t>
      </w:r>
      <w:r w:rsidR="00CB7DAC">
        <w:rPr>
          <w:rFonts w:cs="Helvetica Neue"/>
          <w:color w:val="000000"/>
        </w:rPr>
        <w:t xml:space="preserve"> </w:t>
      </w:r>
      <w:r w:rsidR="00617745">
        <w:rPr>
          <w:rFonts w:cs="Helvetica Neue"/>
          <w:color w:val="000000"/>
        </w:rPr>
        <w:t>through t</w:t>
      </w:r>
      <w:r w:rsidR="00F24578">
        <w:rPr>
          <w:rFonts w:cs="Helvetica Neue"/>
          <w:color w:val="000000"/>
        </w:rPr>
        <w:t>he</w:t>
      </w:r>
      <w:r w:rsidR="00617745">
        <w:rPr>
          <w:rFonts w:cs="Helvetica Neue"/>
          <w:color w:val="000000"/>
        </w:rPr>
        <w:t xml:space="preserve"> creation of</w:t>
      </w:r>
      <w:r w:rsidR="00392720">
        <w:rPr>
          <w:rFonts w:cs="Helvetica Neue"/>
          <w:color w:val="000000"/>
        </w:rPr>
        <w:t xml:space="preserve"> a large </w:t>
      </w:r>
      <w:r w:rsidR="00617745">
        <w:rPr>
          <w:rFonts w:cs="Helvetica Neue"/>
          <w:color w:val="000000"/>
        </w:rPr>
        <w:t xml:space="preserve">network of neoliberal advocates that </w:t>
      </w:r>
      <w:r w:rsidR="00392720">
        <w:rPr>
          <w:color w:val="000000" w:themeColor="text1"/>
        </w:rPr>
        <w:t>w</w:t>
      </w:r>
      <w:r w:rsidR="00614BA6">
        <w:rPr>
          <w:color w:val="000000" w:themeColor="text1"/>
        </w:rPr>
        <w:t xml:space="preserve">ould become essential to the financing of neoliberal </w:t>
      </w:r>
      <w:r w:rsidR="00617745">
        <w:rPr>
          <w:color w:val="000000" w:themeColor="text1"/>
        </w:rPr>
        <w:t>institutions</w:t>
      </w:r>
      <w:r w:rsidR="00305D72">
        <w:rPr>
          <w:color w:val="000000" w:themeColor="text1"/>
        </w:rPr>
        <w:t>,</w:t>
      </w:r>
      <w:r w:rsidR="00392720">
        <w:rPr>
          <w:color w:val="000000" w:themeColor="text1"/>
        </w:rPr>
        <w:t xml:space="preserve"> </w:t>
      </w:r>
      <w:r w:rsidR="00141A0F">
        <w:rPr>
          <w:color w:val="000000" w:themeColor="text1"/>
        </w:rPr>
        <w:t>a</w:t>
      </w:r>
      <w:r w:rsidR="00614BA6">
        <w:rPr>
          <w:color w:val="000000" w:themeColor="text1"/>
        </w:rPr>
        <w:t>s well as</w:t>
      </w:r>
      <w:r w:rsidR="00EC6B62">
        <w:rPr>
          <w:color w:val="000000" w:themeColor="text1"/>
        </w:rPr>
        <w:t xml:space="preserve"> </w:t>
      </w:r>
      <w:r w:rsidR="00392720">
        <w:rPr>
          <w:color w:val="000000" w:themeColor="text1"/>
        </w:rPr>
        <w:t>shap</w:t>
      </w:r>
      <w:r w:rsidR="00614BA6">
        <w:rPr>
          <w:color w:val="000000" w:themeColor="text1"/>
        </w:rPr>
        <w:t>ing</w:t>
      </w:r>
      <w:r w:rsidR="00392720">
        <w:rPr>
          <w:color w:val="000000" w:themeColor="text1"/>
        </w:rPr>
        <w:t xml:space="preserve"> th</w:t>
      </w:r>
      <w:r w:rsidR="00CB7DAC">
        <w:rPr>
          <w:color w:val="000000" w:themeColor="text1"/>
        </w:rPr>
        <w:t>eir</w:t>
      </w:r>
      <w:r w:rsidR="00392720">
        <w:rPr>
          <w:color w:val="000000" w:themeColor="text1"/>
        </w:rPr>
        <w:t xml:space="preserve"> development </w:t>
      </w:r>
      <w:r w:rsidR="00617745">
        <w:rPr>
          <w:color w:val="000000" w:themeColor="text1"/>
        </w:rPr>
        <w:t>and strategic approaches.</w:t>
      </w:r>
      <w:r w:rsidR="00392720">
        <w:rPr>
          <w:color w:val="000000" w:themeColor="text1"/>
        </w:rPr>
        <w:t xml:space="preserve"> </w:t>
      </w:r>
      <w:r w:rsidR="008D3F91">
        <w:rPr>
          <w:color w:val="000000" w:themeColor="text1"/>
        </w:rPr>
        <w:t xml:space="preserve"> </w:t>
      </w:r>
    </w:p>
    <w:p w14:paraId="2AE8992E" w14:textId="77777777" w:rsidR="004571DB" w:rsidRDefault="004571DB" w:rsidP="004571DB"/>
    <w:p w14:paraId="384942EB" w14:textId="77777777" w:rsidR="004571DB" w:rsidRPr="00476B95" w:rsidRDefault="004571DB" w:rsidP="004571DB">
      <w:pPr>
        <w:rPr>
          <w:b/>
          <w:bCs/>
          <w:color w:val="000000" w:themeColor="text1"/>
        </w:rPr>
      </w:pPr>
      <w:r>
        <w:rPr>
          <w:b/>
          <w:bCs/>
          <w:color w:val="000000" w:themeColor="text1"/>
        </w:rPr>
        <w:t xml:space="preserve">1.3 - </w:t>
      </w:r>
      <w:r w:rsidRPr="00476B95">
        <w:rPr>
          <w:b/>
          <w:bCs/>
          <w:color w:val="000000" w:themeColor="text1"/>
        </w:rPr>
        <w:t>Defining Neoliberalism</w:t>
      </w:r>
    </w:p>
    <w:p w14:paraId="6D98F69A" w14:textId="77777777" w:rsidR="004571DB" w:rsidRDefault="004571DB" w:rsidP="004571DB">
      <w:pPr>
        <w:rPr>
          <w:color w:val="000000" w:themeColor="text1"/>
        </w:rPr>
      </w:pPr>
    </w:p>
    <w:p w14:paraId="20396BDB" w14:textId="2D7E8A82" w:rsidR="004571DB" w:rsidRPr="0097535B" w:rsidRDefault="004571DB" w:rsidP="004571DB">
      <w:r>
        <w:rPr>
          <w:color w:val="000000" w:themeColor="text1"/>
        </w:rPr>
        <w:t xml:space="preserve">There are of course, widely recognised problems with the term neoliberalism. </w:t>
      </w:r>
      <w:r>
        <w:t>Neoliberalism itself is a rather contested term</w:t>
      </w:r>
      <w:r w:rsidR="00062987">
        <w:t xml:space="preserve"> and its exact definition is still the subject of lively debate</w:t>
      </w:r>
      <w:r>
        <w:t>.</w:t>
      </w:r>
      <w:r>
        <w:rPr>
          <w:rStyle w:val="FootnoteReference"/>
        </w:rPr>
        <w:footnoteReference w:id="8"/>
      </w:r>
      <w:r>
        <w:t xml:space="preserve"> One of the ways in which the difficulty defining neoliberalism has been sidestepped is by focusing on the members of the Mont </w:t>
      </w:r>
      <w:proofErr w:type="spellStart"/>
      <w:r>
        <w:t>Pelerin</w:t>
      </w:r>
      <w:proofErr w:type="spellEnd"/>
      <w:r>
        <w:t xml:space="preserve"> Society, a </w:t>
      </w:r>
      <w:r w:rsidR="000D261C">
        <w:t>‘</w:t>
      </w:r>
      <w:r>
        <w:t>thought collective</w:t>
      </w:r>
      <w:r w:rsidR="000D261C">
        <w:t>’</w:t>
      </w:r>
      <w:r>
        <w:t xml:space="preserve">, as </w:t>
      </w:r>
      <w:r w:rsidRPr="000F6AF6">
        <w:t xml:space="preserve">Phillip </w:t>
      </w:r>
      <w:proofErr w:type="spellStart"/>
      <w:r w:rsidRPr="000F6AF6">
        <w:t>Mirowski</w:t>
      </w:r>
      <w:proofErr w:type="spellEnd"/>
      <w:r w:rsidRPr="000F6AF6">
        <w:t xml:space="preserve"> and Dieter </w:t>
      </w:r>
      <w:proofErr w:type="spellStart"/>
      <w:r w:rsidRPr="000F6AF6">
        <w:t>Plehwe</w:t>
      </w:r>
      <w:proofErr w:type="spellEnd"/>
      <w:r>
        <w:t xml:space="preserve"> put it, of those seen firmly as neoliberals.</w:t>
      </w:r>
      <w:r>
        <w:rPr>
          <w:rStyle w:val="FootnoteReference"/>
        </w:rPr>
        <w:footnoteReference w:id="9"/>
      </w:r>
      <w:r>
        <w:t xml:space="preserve"> Yet as Neil Rollings points out, individuals such as Lionel Robbins, widely regarded as a neoliberal, was never a member of the society, despite helping to found the organisation.</w:t>
      </w:r>
      <w:r>
        <w:rPr>
          <w:rStyle w:val="FootnoteReference"/>
        </w:rPr>
        <w:footnoteReference w:id="10"/>
      </w:r>
      <w:r>
        <w:t xml:space="preserve"> Yet, this discrepancy need not be fatal for neoliberalism as a category of analysis for it is best seen, as Peck describes, as </w:t>
      </w:r>
      <w:r w:rsidRPr="0052583F">
        <w:t>‘a matrix of overlapping convictions, orientations, and aversion</w:t>
      </w:r>
      <w:r>
        <w:t>s’ that while sometimes may appear contradictory, are unified by their emphasis on ‘market liberalism’ as the greatest guarantor of political freedom.</w:t>
      </w:r>
      <w:r>
        <w:rPr>
          <w:rStyle w:val="FootnoteReference"/>
        </w:rPr>
        <w:footnoteReference w:id="11"/>
      </w:r>
    </w:p>
    <w:p w14:paraId="55EB786A" w14:textId="77777777" w:rsidR="004571DB" w:rsidRDefault="004571DB" w:rsidP="004571DB">
      <w:pPr>
        <w:rPr>
          <w:rFonts w:cs="Helvetica Neue"/>
          <w:b/>
          <w:bCs/>
          <w:color w:val="000000"/>
        </w:rPr>
      </w:pPr>
    </w:p>
    <w:p w14:paraId="45775BC4" w14:textId="77777777" w:rsidR="004571DB" w:rsidRDefault="004571DB" w:rsidP="004571DB">
      <w:pPr>
        <w:rPr>
          <w:rFonts w:cs="Helvetica Neue"/>
          <w:b/>
          <w:bCs/>
          <w:color w:val="000000"/>
        </w:rPr>
      </w:pPr>
      <w:r>
        <w:rPr>
          <w:rFonts w:cs="Helvetica Neue"/>
          <w:b/>
          <w:bCs/>
          <w:color w:val="000000"/>
        </w:rPr>
        <w:t xml:space="preserve">Neoliberalism and Business in </w:t>
      </w:r>
      <w:r w:rsidR="008941FE">
        <w:rPr>
          <w:rFonts w:cs="Helvetica Neue"/>
          <w:b/>
          <w:bCs/>
          <w:color w:val="000000"/>
        </w:rPr>
        <w:t>1945</w:t>
      </w:r>
    </w:p>
    <w:p w14:paraId="0F083F34" w14:textId="77777777" w:rsidR="004571DB" w:rsidRPr="00DF364E" w:rsidRDefault="004571DB" w:rsidP="004571DB">
      <w:pPr>
        <w:rPr>
          <w:rFonts w:cs="Helvetica Neue"/>
          <w:color w:val="000000"/>
        </w:rPr>
      </w:pPr>
    </w:p>
    <w:p w14:paraId="4A6D6EEE" w14:textId="1446E1F4" w:rsidR="004571DB" w:rsidRDefault="00311AE9" w:rsidP="004571DB">
      <w:r>
        <w:t>While many businesses had supported</w:t>
      </w:r>
      <w:r w:rsidR="006A0340">
        <w:t xml:space="preserve"> the</w:t>
      </w:r>
      <w:r w:rsidR="00EF14C8">
        <w:t xml:space="preserve"> creation of a </w:t>
      </w:r>
      <w:r w:rsidR="00EF14C8">
        <w:t>social democratic economy</w:t>
      </w:r>
      <w:r w:rsidR="00EF14C8">
        <w:t xml:space="preserve"> after the Second World War</w:t>
      </w:r>
      <w:r>
        <w:t>, there was certainly a desire to challenge the post-war social democracy in the business community. However, there was a lack of institutional focus for this discontent. Although there was sympathy for neoliberal ideas within t</w:t>
      </w:r>
      <w:r w:rsidR="004571DB">
        <w:t>he nation’s major business lobbies, such as the Federation of Business and the Chamber of Commerce</w:t>
      </w:r>
      <w:r>
        <w:t>, they nevertheless</w:t>
      </w:r>
      <w:r w:rsidR="004571DB">
        <w:t xml:space="preserve"> failed to mount any substantial public opposition for fear of </w:t>
      </w:r>
      <w:r w:rsidR="000D261C">
        <w:t>‘</w:t>
      </w:r>
      <w:r w:rsidR="004571DB" w:rsidRPr="00E63FD8">
        <w:t>considerable embarrassment</w:t>
      </w:r>
      <w:r w:rsidR="000D261C">
        <w:t>’</w:t>
      </w:r>
      <w:r w:rsidR="004571DB">
        <w:t>.</w:t>
      </w:r>
      <w:r w:rsidR="004571DB">
        <w:rPr>
          <w:rStyle w:val="FootnoteReference"/>
        </w:rPr>
        <w:footnoteReference w:id="12"/>
      </w:r>
      <w:r w:rsidR="004571DB">
        <w:t xml:space="preserve"> The net result was, a</w:t>
      </w:r>
      <w:r w:rsidR="004571DB" w:rsidRPr="00B23147">
        <w:t xml:space="preserve">s the Conservative MP Leonard </w:t>
      </w:r>
      <w:proofErr w:type="spellStart"/>
      <w:r w:rsidR="004571DB" w:rsidRPr="00B23147">
        <w:t>Gammans</w:t>
      </w:r>
      <w:proofErr w:type="spellEnd"/>
      <w:r w:rsidR="004571DB" w:rsidRPr="00B23147">
        <w:t xml:space="preserve"> remarked in an </w:t>
      </w:r>
      <w:r w:rsidR="004571DB">
        <w:t>article</w:t>
      </w:r>
      <w:r w:rsidR="004571DB" w:rsidRPr="00B23147">
        <w:t xml:space="preserve"> for the </w:t>
      </w:r>
      <w:r w:rsidR="004571DB" w:rsidRPr="00A23E98">
        <w:rPr>
          <w:i/>
          <w:iCs/>
        </w:rPr>
        <w:t>Financial Times</w:t>
      </w:r>
      <w:r w:rsidR="004571DB" w:rsidRPr="00B23147">
        <w:t xml:space="preserve">, </w:t>
      </w:r>
      <w:r w:rsidR="004571DB">
        <w:t xml:space="preserve">that </w:t>
      </w:r>
      <w:r w:rsidR="004571DB" w:rsidRPr="00B23147">
        <w:t xml:space="preserve">in the fight for free enterprise, </w:t>
      </w:r>
      <w:r w:rsidR="00B81AF4">
        <w:t>‘</w:t>
      </w:r>
      <w:r w:rsidR="004571DB" w:rsidRPr="00B23147">
        <w:t xml:space="preserve">the number of real </w:t>
      </w:r>
      <w:r>
        <w:t xml:space="preserve">[business] </w:t>
      </w:r>
      <w:r w:rsidR="004571DB" w:rsidRPr="00B23147">
        <w:t>belligerents is so few that it is easy to remember their names</w:t>
      </w:r>
      <w:r w:rsidR="00B81AF4">
        <w:t>’</w:t>
      </w:r>
      <w:r w:rsidR="004571DB" w:rsidRPr="00B23147">
        <w:t>.</w:t>
      </w:r>
      <w:r w:rsidR="004571DB" w:rsidRPr="00B23147">
        <w:rPr>
          <w:rStyle w:val="FootnoteReference"/>
        </w:rPr>
        <w:footnoteReference w:id="13"/>
      </w:r>
    </w:p>
    <w:p w14:paraId="63456D69" w14:textId="77777777" w:rsidR="004571DB" w:rsidRDefault="004571DB" w:rsidP="004571DB"/>
    <w:p w14:paraId="798343E3" w14:textId="77777777" w:rsidR="004571DB" w:rsidRPr="009311A7" w:rsidRDefault="004571DB" w:rsidP="004571DB">
      <w:pPr>
        <w:rPr>
          <w:rFonts w:cs="Helvetica Neue"/>
          <w:b/>
          <w:bCs/>
          <w:color w:val="000000"/>
        </w:rPr>
      </w:pPr>
      <w:r>
        <w:rPr>
          <w:rFonts w:cs="Helvetica Neue"/>
          <w:b/>
          <w:bCs/>
          <w:color w:val="000000"/>
        </w:rPr>
        <w:t>The Reinvigoration of the</w:t>
      </w:r>
      <w:r w:rsidRPr="009311A7">
        <w:rPr>
          <w:rFonts w:cs="Helvetica Neue"/>
          <w:b/>
          <w:bCs/>
          <w:color w:val="000000"/>
        </w:rPr>
        <w:t xml:space="preserve"> </w:t>
      </w:r>
      <w:proofErr w:type="spellStart"/>
      <w:r>
        <w:rPr>
          <w:rFonts w:cs="Helvetica Neue"/>
          <w:b/>
          <w:bCs/>
          <w:color w:val="000000"/>
        </w:rPr>
        <w:t>I</w:t>
      </w:r>
      <w:r w:rsidRPr="009311A7">
        <w:rPr>
          <w:rFonts w:cs="Helvetica Neue"/>
          <w:b/>
          <w:bCs/>
          <w:color w:val="000000"/>
        </w:rPr>
        <w:t>oD</w:t>
      </w:r>
      <w:proofErr w:type="spellEnd"/>
      <w:r>
        <w:rPr>
          <w:rFonts w:cs="Helvetica Neue"/>
          <w:b/>
          <w:bCs/>
          <w:color w:val="000000"/>
        </w:rPr>
        <w:t>.</w:t>
      </w:r>
    </w:p>
    <w:p w14:paraId="3BD04723" w14:textId="77777777" w:rsidR="004571DB" w:rsidRDefault="004571DB" w:rsidP="004571DB"/>
    <w:p w14:paraId="4045E44E" w14:textId="079FB0BC" w:rsidR="004571DB" w:rsidRDefault="004571DB" w:rsidP="004571DB">
      <w:r>
        <w:t xml:space="preserve">One figure who shared the belief </w:t>
      </w:r>
      <w:r w:rsidRPr="00F60F6E">
        <w:t xml:space="preserve">that </w:t>
      </w:r>
      <w:r>
        <w:t xml:space="preserve">the </w:t>
      </w:r>
      <w:r w:rsidRPr="00F60F6E">
        <w:t xml:space="preserve">business </w:t>
      </w:r>
      <w:r>
        <w:t xml:space="preserve">community </w:t>
      </w:r>
      <w:r w:rsidRPr="00F60F6E">
        <w:t xml:space="preserve">was not doing enough </w:t>
      </w:r>
      <w:r>
        <w:t xml:space="preserve">to combat the post-war political economy and sought to </w:t>
      </w:r>
      <w:r w:rsidR="00311AE9">
        <w:t xml:space="preserve">reverse this feeling of </w:t>
      </w:r>
      <w:r w:rsidR="006A0340">
        <w:t>pessimism</w:t>
      </w:r>
      <w:r>
        <w:t xml:space="preserve"> was Edward Spears. Spears was the Chairman of the Ashanti Goldfields Corporation. In 1948, he was elected as Chairman of the </w:t>
      </w:r>
      <w:proofErr w:type="spellStart"/>
      <w:r>
        <w:t>IoD</w:t>
      </w:r>
      <w:proofErr w:type="spellEnd"/>
      <w:r>
        <w:t xml:space="preserve"> with a very specific mandate. </w:t>
      </w:r>
      <w:r w:rsidRPr="008D2B12">
        <w:t xml:space="preserve">His vision was to convert the </w:t>
      </w:r>
      <w:proofErr w:type="spellStart"/>
      <w:r w:rsidRPr="008D2B12">
        <w:t>I</w:t>
      </w:r>
      <w:r>
        <w:t>o</w:t>
      </w:r>
      <w:r w:rsidRPr="008D2B12">
        <w:t>D</w:t>
      </w:r>
      <w:proofErr w:type="spellEnd"/>
      <w:r w:rsidRPr="008D2B12">
        <w:t>, which had become a largely dormant</w:t>
      </w:r>
      <w:r>
        <w:t xml:space="preserve"> and</w:t>
      </w:r>
      <w:r w:rsidRPr="008D2B12">
        <w:t xml:space="preserve"> ineffectual business organisation</w:t>
      </w:r>
      <w:r>
        <w:t>,</w:t>
      </w:r>
      <w:r w:rsidRPr="008D2B12">
        <w:t xml:space="preserve"> into a</w:t>
      </w:r>
      <w:r>
        <w:t xml:space="preserve"> vehicle for opposing post-war social democracy which he felt was</w:t>
      </w:r>
      <w:r w:rsidRPr="00CE214D">
        <w:t xml:space="preserve"> </w:t>
      </w:r>
      <w:r w:rsidR="000D261C">
        <w:t>‘</w:t>
      </w:r>
      <w:r w:rsidRPr="00CE214D">
        <w:t xml:space="preserve">an </w:t>
      </w:r>
      <w:proofErr w:type="spellStart"/>
      <w:r w:rsidRPr="00CE214D">
        <w:t>underided</w:t>
      </w:r>
      <w:proofErr w:type="spellEnd"/>
      <w:r w:rsidRPr="00CE214D">
        <w:t xml:space="preserve"> attack on free enterprise and the liberty upon which it is based</w:t>
      </w:r>
      <w:r w:rsidR="000D261C">
        <w:t>’</w:t>
      </w:r>
      <w:r>
        <w:t>.</w:t>
      </w:r>
      <w:r w:rsidRPr="00CE214D">
        <w:rPr>
          <w:rStyle w:val="FootnoteReference"/>
        </w:rPr>
        <w:footnoteReference w:id="14"/>
      </w:r>
      <w:r>
        <w:t xml:space="preserve"> </w:t>
      </w:r>
      <w:r w:rsidRPr="008D2B12">
        <w:t>Spears set about reorganising the institute so that it would be able to act as a vehicle that could build support for the market. Together</w:t>
      </w:r>
      <w:r>
        <w:t xml:space="preserve"> with two </w:t>
      </w:r>
      <w:r w:rsidR="009E749D">
        <w:t>sympathetic allies</w:t>
      </w:r>
      <w:r>
        <w:t xml:space="preserve">, Oliver </w:t>
      </w:r>
      <w:proofErr w:type="spellStart"/>
      <w:r>
        <w:t>Lyttelton</w:t>
      </w:r>
      <w:proofErr w:type="spellEnd"/>
      <w:r>
        <w:t xml:space="preserve"> (Associated Electrical Industries) and Robert Renwick (British Wireless)</w:t>
      </w:r>
      <w:r w:rsidRPr="008D2B12">
        <w:t xml:space="preserve">, they opened up offices in Central London, revived its provincial branches across the country and re-established the institute’s magazine, </w:t>
      </w:r>
      <w:r w:rsidRPr="00A23E98">
        <w:rPr>
          <w:i/>
          <w:iCs/>
        </w:rPr>
        <w:t>The Director</w:t>
      </w:r>
      <w:r w:rsidRPr="008D2B12">
        <w:t>.</w:t>
      </w:r>
      <w:r>
        <w:rPr>
          <w:rStyle w:val="FootnoteReference"/>
        </w:rPr>
        <w:footnoteReference w:id="15"/>
      </w:r>
      <w:r w:rsidRPr="008D2B12">
        <w:t xml:space="preserve"> </w:t>
      </w:r>
    </w:p>
    <w:p w14:paraId="54544EF7" w14:textId="77777777" w:rsidR="004571DB" w:rsidRDefault="004571DB" w:rsidP="004571DB"/>
    <w:p w14:paraId="41663046" w14:textId="3D79C250" w:rsidR="004571DB" w:rsidRDefault="004571DB" w:rsidP="004571DB">
      <w:r>
        <w:t xml:space="preserve">However, </w:t>
      </w:r>
      <w:r w:rsidRPr="003124F3">
        <w:t xml:space="preserve">it was not just the infrastructure that needed to be resuscitated. The IOD’s membership had crumbled </w:t>
      </w:r>
      <w:r>
        <w:t xml:space="preserve">during the war. In response, Spears organised a recruitment drive. Through a series of articles, letters and speeches at various business functions he sought to raise </w:t>
      </w:r>
      <w:r w:rsidR="00BD755F">
        <w:t>directors’</w:t>
      </w:r>
      <w:r>
        <w:t xml:space="preserve"> consciousness and persuade them to join the fight against post-war social democracy through the </w:t>
      </w:r>
      <w:proofErr w:type="spellStart"/>
      <w:r>
        <w:t>IoD</w:t>
      </w:r>
      <w:proofErr w:type="spellEnd"/>
      <w:r>
        <w:t>, pitching it as the only respectable organisation that would stand proudly and unashamedly for free enterprise.</w:t>
      </w:r>
      <w:r>
        <w:rPr>
          <w:rStyle w:val="FootnoteReference"/>
        </w:rPr>
        <w:footnoteReference w:id="16"/>
      </w:r>
      <w:r>
        <w:t xml:space="preserve"> The campaign was a success. B</w:t>
      </w:r>
      <w:r w:rsidRPr="00B8648C">
        <w:t xml:space="preserve">y </w:t>
      </w:r>
      <w:r>
        <w:t xml:space="preserve">the </w:t>
      </w:r>
      <w:r w:rsidRPr="00B8648C">
        <w:t>end of December 1951</w:t>
      </w:r>
      <w:r>
        <w:t>, just less than four years after Spears had re-established the</w:t>
      </w:r>
      <w:r w:rsidRPr="00B8648C">
        <w:t xml:space="preserve"> IOD</w:t>
      </w:r>
      <w:r>
        <w:t>,</w:t>
      </w:r>
      <w:r w:rsidRPr="00B8648C">
        <w:t xml:space="preserve"> </w:t>
      </w:r>
      <w:r>
        <w:t xml:space="preserve">its membership had grown from just a few hundred members to </w:t>
      </w:r>
      <w:r w:rsidRPr="00B8648C">
        <w:t>5,452</w:t>
      </w:r>
      <w:r>
        <w:t xml:space="preserve">. Among its ranks were directors </w:t>
      </w:r>
      <w:r w:rsidR="006A0340">
        <w:t>from</w:t>
      </w:r>
      <w:r>
        <w:t xml:space="preserve"> many of Britain’s most prominent companies, including </w:t>
      </w:r>
      <w:r w:rsidRPr="00FD5B33">
        <w:t>Morgan Crucible,</w:t>
      </w:r>
      <w:r>
        <w:t xml:space="preserve"> </w:t>
      </w:r>
      <w:r w:rsidRPr="00FD5B33">
        <w:t>H</w:t>
      </w:r>
      <w:r>
        <w:t>.</w:t>
      </w:r>
      <w:r w:rsidRPr="00FD5B33">
        <w:t>P Sauce, R</w:t>
      </w:r>
      <w:r>
        <w:t>.A</w:t>
      </w:r>
      <w:r w:rsidRPr="00FD5B33">
        <w:t xml:space="preserve"> Lister, United Biscuits, Balfour Beatty, Union Bank, </w:t>
      </w:r>
      <w:r>
        <w:t xml:space="preserve">and </w:t>
      </w:r>
      <w:r w:rsidRPr="00FD5B33">
        <w:t>Taylor Woodrow</w:t>
      </w:r>
      <w:r>
        <w:t>.</w:t>
      </w:r>
      <w:r>
        <w:rPr>
          <w:rStyle w:val="FootnoteReference"/>
        </w:rPr>
        <w:footnoteReference w:id="17"/>
      </w:r>
      <w:r>
        <w:t xml:space="preserve"> </w:t>
      </w:r>
    </w:p>
    <w:p w14:paraId="0856BF68" w14:textId="77777777" w:rsidR="004571DB" w:rsidRDefault="004571DB" w:rsidP="004571DB">
      <w:pPr>
        <w:rPr>
          <w:rFonts w:cs="Helvetica Neue"/>
          <w:color w:val="000000"/>
        </w:rPr>
      </w:pPr>
    </w:p>
    <w:p w14:paraId="02F9A152" w14:textId="77777777" w:rsidR="004571DB" w:rsidRDefault="004571DB" w:rsidP="004571DB">
      <w:pPr>
        <w:rPr>
          <w:rFonts w:cs="Helvetica Neue"/>
          <w:b/>
          <w:bCs/>
          <w:color w:val="000000"/>
        </w:rPr>
      </w:pPr>
      <w:r>
        <w:rPr>
          <w:rFonts w:cs="Helvetica Neue"/>
          <w:b/>
          <w:bCs/>
          <w:color w:val="000000"/>
        </w:rPr>
        <w:t xml:space="preserve">The </w:t>
      </w:r>
      <w:r w:rsidRPr="000B61A6">
        <w:rPr>
          <w:rFonts w:cs="Helvetica Neue"/>
          <w:b/>
          <w:bCs/>
          <w:color w:val="000000"/>
        </w:rPr>
        <w:t>Free Enterprise Campaign</w:t>
      </w:r>
    </w:p>
    <w:p w14:paraId="3DAE8488" w14:textId="77777777" w:rsidR="004571DB" w:rsidRDefault="004571DB" w:rsidP="004571DB">
      <w:pPr>
        <w:rPr>
          <w:rFonts w:cs="Helvetica Neue"/>
          <w:b/>
          <w:bCs/>
          <w:color w:val="000000"/>
        </w:rPr>
      </w:pPr>
    </w:p>
    <w:p w14:paraId="6B1F22A8" w14:textId="55F1B51C" w:rsidR="004571DB" w:rsidRDefault="004571DB" w:rsidP="004571DB">
      <w:r>
        <w:t xml:space="preserve">Once directors had joined the institute, Spears wanted to use their collective power as a force for political change. </w:t>
      </w:r>
      <w:r w:rsidRPr="004571DB">
        <w:rPr>
          <w:rFonts w:cs="Helvetica Neue"/>
          <w:color w:val="000000"/>
        </w:rPr>
        <w:t xml:space="preserve">It was to public relations that the </w:t>
      </w:r>
      <w:proofErr w:type="spellStart"/>
      <w:r w:rsidRPr="004571DB">
        <w:rPr>
          <w:rFonts w:cs="Helvetica Neue"/>
          <w:color w:val="000000"/>
        </w:rPr>
        <w:t>IoD</w:t>
      </w:r>
      <w:proofErr w:type="spellEnd"/>
      <w:r w:rsidRPr="004571DB">
        <w:rPr>
          <w:rFonts w:cs="Helvetica Neue"/>
          <w:color w:val="000000"/>
        </w:rPr>
        <w:t xml:space="preserve"> looked to try to </w:t>
      </w:r>
      <w:r w:rsidR="000D261C">
        <w:rPr>
          <w:rFonts w:cs="Helvetica Neue"/>
          <w:color w:val="000000"/>
        </w:rPr>
        <w:t>‘</w:t>
      </w:r>
      <w:r w:rsidRPr="004571DB">
        <w:rPr>
          <w:rFonts w:cs="Helvetica Neue"/>
          <w:color w:val="000000"/>
        </w:rPr>
        <w:t>create a climate of opinion</w:t>
      </w:r>
      <w:r w:rsidR="000D261C">
        <w:rPr>
          <w:rFonts w:cs="Helvetica Neue"/>
          <w:color w:val="000000"/>
        </w:rPr>
        <w:t>’</w:t>
      </w:r>
      <w:r w:rsidRPr="004571DB">
        <w:rPr>
          <w:rFonts w:cs="Helvetica Neue"/>
          <w:color w:val="000000"/>
        </w:rPr>
        <w:t xml:space="preserve"> more </w:t>
      </w:r>
      <w:r w:rsidR="000D261C">
        <w:rPr>
          <w:rFonts w:cs="Helvetica Neue"/>
          <w:color w:val="000000"/>
        </w:rPr>
        <w:t>‘</w:t>
      </w:r>
      <w:r w:rsidRPr="004571DB">
        <w:rPr>
          <w:rFonts w:cs="Helvetica Neue"/>
          <w:color w:val="000000"/>
        </w:rPr>
        <w:t>favourable to free enterprise</w:t>
      </w:r>
      <w:r w:rsidR="000D261C">
        <w:rPr>
          <w:rFonts w:cs="Helvetica Neue"/>
          <w:color w:val="000000"/>
        </w:rPr>
        <w:t>’</w:t>
      </w:r>
      <w:r>
        <w:rPr>
          <w:rFonts w:cs="Helvetica Neue"/>
          <w:color w:val="000000"/>
        </w:rPr>
        <w:t>.</w:t>
      </w:r>
      <w:r>
        <w:rPr>
          <w:rStyle w:val="FootnoteReference"/>
          <w:rFonts w:cs="Helvetica Neue"/>
          <w:color w:val="000000"/>
        </w:rPr>
        <w:footnoteReference w:id="18"/>
      </w:r>
      <w:r>
        <w:rPr>
          <w:rFonts w:cs="Helvetica Neue"/>
          <w:b/>
          <w:bCs/>
          <w:color w:val="000000"/>
        </w:rPr>
        <w:t xml:space="preserve"> </w:t>
      </w:r>
      <w:r w:rsidR="002165AE">
        <w:rPr>
          <w:rFonts w:cs="Helvetica Neue"/>
          <w:color w:val="000000"/>
        </w:rPr>
        <w:t xml:space="preserve">By </w:t>
      </w:r>
      <w:r w:rsidRPr="004571DB">
        <w:rPr>
          <w:rFonts w:cs="Helvetica Neue"/>
          <w:color w:val="000000"/>
        </w:rPr>
        <w:t>195</w:t>
      </w:r>
      <w:r w:rsidR="002165AE">
        <w:rPr>
          <w:rFonts w:cs="Helvetica Neue"/>
          <w:color w:val="000000"/>
        </w:rPr>
        <w:t>1</w:t>
      </w:r>
      <w:r w:rsidRPr="004571DB">
        <w:rPr>
          <w:rFonts w:cs="Helvetica Neue"/>
          <w:color w:val="000000"/>
        </w:rPr>
        <w:t xml:space="preserve"> t</w:t>
      </w:r>
      <w:r w:rsidRPr="004571DB">
        <w:t>he</w:t>
      </w:r>
      <w:r>
        <w:t xml:space="preserve"> </w:t>
      </w:r>
      <w:proofErr w:type="spellStart"/>
      <w:r>
        <w:t>IoD</w:t>
      </w:r>
      <w:proofErr w:type="spellEnd"/>
      <w:r>
        <w:t xml:space="preserve"> raised nearly £200,000 for </w:t>
      </w:r>
      <w:r w:rsidR="00E40D5F">
        <w:t xml:space="preserve">a public relations </w:t>
      </w:r>
      <w:r w:rsidR="00C90F01">
        <w:t xml:space="preserve">campaign </w:t>
      </w:r>
      <w:r w:rsidR="002165AE">
        <w:t xml:space="preserve">which aimed </w:t>
      </w:r>
      <w:r>
        <w:t xml:space="preserve">to educate the public on the merits of free enterprise. Significant contributions came from a range of donors, including Whitbread (£3500), British Insulated Calendar Cables (£3000), Associated Portland Cement (£3000), Marks and Spencer (£2000), R. W. Hawthorne (£2000), </w:t>
      </w:r>
      <w:proofErr w:type="spellStart"/>
      <w:r>
        <w:t>Fisons</w:t>
      </w:r>
      <w:proofErr w:type="spellEnd"/>
      <w:r>
        <w:t xml:space="preserve"> (£2000), </w:t>
      </w:r>
      <w:proofErr w:type="spellStart"/>
      <w:r>
        <w:t>Beechams</w:t>
      </w:r>
      <w:proofErr w:type="spellEnd"/>
      <w:r>
        <w:t xml:space="preserve"> (£2000), J. Lyons (£1000) and General Electric (£1000).</w:t>
      </w:r>
      <w:r w:rsidR="00BB6801">
        <w:rPr>
          <w:rStyle w:val="FootnoteReference"/>
        </w:rPr>
        <w:footnoteReference w:id="19"/>
      </w:r>
      <w:r>
        <w:t xml:space="preserve"> This money was used to hire a PR firm who helped to produce a series of posters to put the case for private enterprise before the public. One representative poster, entitled, ‘Bob Took His Chance’ (figure 1), depicted a fictional character called Bob, who started his career on the shop floor, before saving </w:t>
      </w:r>
      <w:r w:rsidR="00C90F01">
        <w:t>enough</w:t>
      </w:r>
      <w:r>
        <w:t xml:space="preserve"> money to start a successful business and employ workers of his own.</w:t>
      </w:r>
      <w:r>
        <w:rPr>
          <w:rStyle w:val="FootnoteReference"/>
        </w:rPr>
        <w:footnoteReference w:id="20"/>
      </w:r>
      <w:r>
        <w:t xml:space="preserve"> The ultimate message was that free enterprise was the best me</w:t>
      </w:r>
      <w:r w:rsidR="000B717C">
        <w:t>chanism for</w:t>
      </w:r>
      <w:r>
        <w:t xml:space="preserve"> social mobility. Another (figure 2) sought to demonstrate that many of the nation’s most famous innovations that had truly made Britain great, including </w:t>
      </w:r>
      <w:r w:rsidRPr="00563713">
        <w:t>TV</w:t>
      </w:r>
      <w:r>
        <w:t>s</w:t>
      </w:r>
      <w:r w:rsidRPr="00563713">
        <w:t>, Jet airliners, trains, cinema</w:t>
      </w:r>
      <w:r>
        <w:t>’s</w:t>
      </w:r>
      <w:r w:rsidRPr="00563713">
        <w:t>, penic</w:t>
      </w:r>
      <w:r>
        <w:t xml:space="preserve">illin and underground railways, had been the product of free enterprise. It posited that Britain had </w:t>
      </w:r>
      <w:r w:rsidR="000D261C">
        <w:t>‘</w:t>
      </w:r>
      <w:r>
        <w:t>grown and prospered</w:t>
      </w:r>
      <w:r w:rsidR="000D261C">
        <w:t>’</w:t>
      </w:r>
      <w:r>
        <w:t xml:space="preserve"> thanks to its history of private enterprise and </w:t>
      </w:r>
      <w:r w:rsidR="00873D81">
        <w:t xml:space="preserve">that </w:t>
      </w:r>
      <w:r>
        <w:t xml:space="preserve">if it was to </w:t>
      </w:r>
      <w:r w:rsidR="000D261C">
        <w:t>‘</w:t>
      </w:r>
      <w:r>
        <w:t>survive</w:t>
      </w:r>
      <w:r w:rsidR="000D261C">
        <w:t>’</w:t>
      </w:r>
      <w:r>
        <w:t xml:space="preserve"> and continue to be a </w:t>
      </w:r>
      <w:r w:rsidR="000D261C">
        <w:t>‘</w:t>
      </w:r>
      <w:r>
        <w:t>great nation</w:t>
      </w:r>
      <w:r w:rsidR="000D261C">
        <w:t>’</w:t>
      </w:r>
      <w:r w:rsidR="00AD07DF">
        <w:t>,</w:t>
      </w:r>
      <w:r>
        <w:t xml:space="preserve"> it needed to revive that tradition.</w:t>
      </w:r>
      <w:r>
        <w:rPr>
          <w:rStyle w:val="FootnoteReference"/>
        </w:rPr>
        <w:footnoteReference w:id="21"/>
      </w:r>
    </w:p>
    <w:p w14:paraId="2481824A" w14:textId="77777777" w:rsidR="004571DB" w:rsidRDefault="004571DB" w:rsidP="004571DB"/>
    <w:p w14:paraId="17702315" w14:textId="352179CF" w:rsidR="004571DB" w:rsidRDefault="004571DB" w:rsidP="004571DB">
      <w:r>
        <w:t xml:space="preserve">The </w:t>
      </w:r>
      <w:proofErr w:type="spellStart"/>
      <w:r>
        <w:t>IoD</w:t>
      </w:r>
      <w:r w:rsidR="0015263C">
        <w:t>’</w:t>
      </w:r>
      <w:r>
        <w:t>s</w:t>
      </w:r>
      <w:proofErr w:type="spellEnd"/>
      <w:r>
        <w:t xml:space="preserve"> posters appeared on 12 full pages of 24 national daily and Sunday papers, 55 local newspapers in the biggest UK cities, </w:t>
      </w:r>
      <w:r w:rsidR="000C0D76">
        <w:t xml:space="preserve">21 major </w:t>
      </w:r>
      <w:r>
        <w:t>magazines, as well as in public spaces</w:t>
      </w:r>
      <w:r w:rsidR="000B717C">
        <w:t xml:space="preserve"> between 1951 and 1953. </w:t>
      </w:r>
      <w:r>
        <w:t>Altogether this amounted to an estimated circulation of 84,000,000 over the course of two years.</w:t>
      </w:r>
      <w:r>
        <w:rPr>
          <w:rStyle w:val="FootnoteReference"/>
        </w:rPr>
        <w:footnoteReference w:id="22"/>
      </w:r>
      <w:r>
        <w:t xml:space="preserve"> By almost all metrics, the range and positioning of the material was impressive. Although unfortunately for the </w:t>
      </w:r>
      <w:proofErr w:type="spellStart"/>
      <w:r>
        <w:t>IoD</w:t>
      </w:r>
      <w:proofErr w:type="spellEnd"/>
      <w:r>
        <w:t>, the effects of the campaign w</w:t>
      </w:r>
      <w:r w:rsidR="000B717C">
        <w:t>ere</w:t>
      </w:r>
      <w:r>
        <w:t xml:space="preserve"> severely limited. A s</w:t>
      </w:r>
      <w:r w:rsidRPr="002161C3">
        <w:t xml:space="preserve">urvey of </w:t>
      </w:r>
      <w:r>
        <w:t>the c</w:t>
      </w:r>
      <w:r w:rsidRPr="002161C3">
        <w:t xml:space="preserve">ampaign </w:t>
      </w:r>
      <w:r>
        <w:t xml:space="preserve">found that only </w:t>
      </w:r>
      <w:r w:rsidR="0043187B">
        <w:t>‘</w:t>
      </w:r>
      <w:r w:rsidRPr="002161C3">
        <w:t>31%</w:t>
      </w:r>
      <w:r w:rsidR="000D261C">
        <w:t>’</w:t>
      </w:r>
      <w:r w:rsidR="000B717C">
        <w:t xml:space="preserve"> of respondents</w:t>
      </w:r>
      <w:r w:rsidRPr="002161C3">
        <w:t xml:space="preserve"> </w:t>
      </w:r>
      <w:r w:rsidR="000D261C">
        <w:t>‘</w:t>
      </w:r>
      <w:r w:rsidRPr="002161C3">
        <w:t xml:space="preserve">had seen and remembered the free enterprise campaign advertisement, 13% had seen </w:t>
      </w:r>
      <w:r>
        <w:t xml:space="preserve">it </w:t>
      </w:r>
      <w:r w:rsidRPr="002161C3">
        <w:t>but could not remember the details, whilst the remaining 56% did n</w:t>
      </w:r>
      <w:r>
        <w:t>o</w:t>
      </w:r>
      <w:r w:rsidRPr="002161C3">
        <w:t>t appear to have seen the advertisements at all</w:t>
      </w:r>
      <w:r w:rsidR="0043187B">
        <w:t>’</w:t>
      </w:r>
      <w:r>
        <w:t>.</w:t>
      </w:r>
      <w:r>
        <w:rPr>
          <w:rStyle w:val="FootnoteReference"/>
        </w:rPr>
        <w:footnoteReference w:id="23"/>
      </w:r>
      <w:r>
        <w:t xml:space="preserve">  </w:t>
      </w:r>
    </w:p>
    <w:p w14:paraId="43FE9A12" w14:textId="77777777" w:rsidR="004571DB" w:rsidRDefault="004571DB" w:rsidP="004571DB"/>
    <w:p w14:paraId="66369AB6" w14:textId="778B8C91" w:rsidR="0029048F" w:rsidRPr="00A724AC" w:rsidRDefault="0029048F" w:rsidP="0029048F">
      <w:pPr>
        <w:rPr>
          <w:b/>
          <w:bCs/>
        </w:rPr>
      </w:pPr>
      <w:r w:rsidRPr="00A724AC">
        <w:rPr>
          <w:b/>
          <w:bCs/>
        </w:rPr>
        <w:t>Figure 1: ‘Bob Took His Chance’.</w:t>
      </w:r>
      <w:r w:rsidRPr="00A724AC">
        <w:rPr>
          <w:rStyle w:val="FootnoteReference"/>
          <w:b/>
          <w:bCs/>
        </w:rPr>
        <w:footnoteReference w:id="24"/>
      </w:r>
      <w:r w:rsidRPr="00A724AC">
        <w:rPr>
          <w:b/>
          <w:bCs/>
        </w:rPr>
        <w:t xml:space="preserve"> </w:t>
      </w:r>
    </w:p>
    <w:p w14:paraId="58B31E0A" w14:textId="05493431" w:rsidR="0029048F" w:rsidRDefault="0029048F" w:rsidP="004571DB">
      <w:pPr>
        <w:rPr>
          <w:b/>
          <w:bCs/>
        </w:rPr>
      </w:pPr>
    </w:p>
    <w:p w14:paraId="57FCEC78" w14:textId="6463FDBC" w:rsidR="0029048F" w:rsidRDefault="0029048F" w:rsidP="004571DB">
      <w:pPr>
        <w:rPr>
          <w:b/>
          <w:bCs/>
        </w:rPr>
      </w:pPr>
      <w:r>
        <w:rPr>
          <w:noProof/>
          <w:lang w:eastAsia="en-GB"/>
        </w:rPr>
        <w:drawing>
          <wp:anchor distT="0" distB="0" distL="114300" distR="114300" simplePos="0" relativeHeight="251659264" behindDoc="1" locked="0" layoutInCell="1" allowOverlap="1" wp14:anchorId="4082D716" wp14:editId="194ADA86">
            <wp:simplePos x="0" y="0"/>
            <wp:positionH relativeFrom="column">
              <wp:posOffset>0</wp:posOffset>
            </wp:positionH>
            <wp:positionV relativeFrom="page">
              <wp:posOffset>1352984</wp:posOffset>
            </wp:positionV>
            <wp:extent cx="5653377" cy="7544948"/>
            <wp:effectExtent l="0" t="0" r="0" b="0"/>
            <wp:wrapNone/>
            <wp:docPr id="3" name="Picture 3" descr="/Users/joemooreyo/Pictures/Photos Library.photoslibrary/resources/proxies/derivatives/33/00/33e5/UNADJUSTEDNONRAW_thumb_3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emooreyo/Pictures/Photos Library.photoslibrary/resources/proxies/derivatives/33/00/33e5/UNADJUSTEDNONRAW_thumb_33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3377" cy="7544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22310" w14:textId="77777777" w:rsidR="0029048F" w:rsidRDefault="0029048F" w:rsidP="004571DB">
      <w:pPr>
        <w:rPr>
          <w:b/>
          <w:bCs/>
        </w:rPr>
      </w:pPr>
    </w:p>
    <w:p w14:paraId="76AEC799" w14:textId="77777777" w:rsidR="0029048F" w:rsidRDefault="0029048F" w:rsidP="004571DB">
      <w:pPr>
        <w:rPr>
          <w:b/>
          <w:bCs/>
        </w:rPr>
      </w:pPr>
    </w:p>
    <w:p w14:paraId="796C5827" w14:textId="77777777" w:rsidR="0029048F" w:rsidRDefault="0029048F" w:rsidP="004571DB">
      <w:pPr>
        <w:rPr>
          <w:b/>
          <w:bCs/>
        </w:rPr>
      </w:pPr>
    </w:p>
    <w:p w14:paraId="34AB6543" w14:textId="77777777" w:rsidR="0029048F" w:rsidRDefault="0029048F" w:rsidP="004571DB">
      <w:pPr>
        <w:rPr>
          <w:b/>
          <w:bCs/>
        </w:rPr>
      </w:pPr>
    </w:p>
    <w:p w14:paraId="15910C35" w14:textId="77777777" w:rsidR="0029048F" w:rsidRDefault="0029048F" w:rsidP="004571DB">
      <w:pPr>
        <w:rPr>
          <w:b/>
          <w:bCs/>
        </w:rPr>
      </w:pPr>
    </w:p>
    <w:p w14:paraId="7C5FA4DA" w14:textId="77777777" w:rsidR="0029048F" w:rsidRDefault="0029048F" w:rsidP="004571DB">
      <w:pPr>
        <w:rPr>
          <w:b/>
          <w:bCs/>
        </w:rPr>
      </w:pPr>
    </w:p>
    <w:p w14:paraId="5DE2A499" w14:textId="77777777" w:rsidR="0029048F" w:rsidRDefault="0029048F" w:rsidP="004571DB">
      <w:pPr>
        <w:rPr>
          <w:b/>
          <w:bCs/>
        </w:rPr>
      </w:pPr>
    </w:p>
    <w:p w14:paraId="2EF77586" w14:textId="77777777" w:rsidR="0029048F" w:rsidRDefault="0029048F" w:rsidP="004571DB">
      <w:pPr>
        <w:rPr>
          <w:b/>
          <w:bCs/>
        </w:rPr>
      </w:pPr>
    </w:p>
    <w:p w14:paraId="36844E13" w14:textId="77777777" w:rsidR="0029048F" w:rsidRDefault="0029048F" w:rsidP="004571DB">
      <w:pPr>
        <w:rPr>
          <w:b/>
          <w:bCs/>
        </w:rPr>
      </w:pPr>
    </w:p>
    <w:p w14:paraId="713638E6" w14:textId="77777777" w:rsidR="0029048F" w:rsidRDefault="0029048F" w:rsidP="004571DB">
      <w:pPr>
        <w:rPr>
          <w:b/>
          <w:bCs/>
        </w:rPr>
      </w:pPr>
    </w:p>
    <w:p w14:paraId="3AD0CDA7" w14:textId="77777777" w:rsidR="0029048F" w:rsidRDefault="0029048F" w:rsidP="004571DB">
      <w:pPr>
        <w:rPr>
          <w:b/>
          <w:bCs/>
        </w:rPr>
      </w:pPr>
    </w:p>
    <w:p w14:paraId="60B17348" w14:textId="77777777" w:rsidR="0029048F" w:rsidRDefault="0029048F" w:rsidP="004571DB">
      <w:pPr>
        <w:rPr>
          <w:b/>
          <w:bCs/>
        </w:rPr>
      </w:pPr>
    </w:p>
    <w:p w14:paraId="341AD1EC" w14:textId="77777777" w:rsidR="0029048F" w:rsidRDefault="0029048F" w:rsidP="004571DB">
      <w:pPr>
        <w:rPr>
          <w:b/>
          <w:bCs/>
        </w:rPr>
      </w:pPr>
    </w:p>
    <w:p w14:paraId="490C22FD" w14:textId="77777777" w:rsidR="0029048F" w:rsidRDefault="0029048F" w:rsidP="004571DB">
      <w:pPr>
        <w:rPr>
          <w:b/>
          <w:bCs/>
        </w:rPr>
      </w:pPr>
    </w:p>
    <w:p w14:paraId="30EE3A4A" w14:textId="77777777" w:rsidR="0029048F" w:rsidRDefault="0029048F" w:rsidP="004571DB">
      <w:pPr>
        <w:rPr>
          <w:b/>
          <w:bCs/>
        </w:rPr>
      </w:pPr>
    </w:p>
    <w:p w14:paraId="0F55E78B" w14:textId="77777777" w:rsidR="0029048F" w:rsidRDefault="0029048F" w:rsidP="004571DB">
      <w:pPr>
        <w:rPr>
          <w:b/>
          <w:bCs/>
        </w:rPr>
      </w:pPr>
    </w:p>
    <w:p w14:paraId="3E1FDADF" w14:textId="77777777" w:rsidR="0029048F" w:rsidRDefault="0029048F" w:rsidP="004571DB">
      <w:pPr>
        <w:rPr>
          <w:b/>
          <w:bCs/>
        </w:rPr>
      </w:pPr>
    </w:p>
    <w:p w14:paraId="4B614B59" w14:textId="77777777" w:rsidR="0029048F" w:rsidRDefault="0029048F" w:rsidP="004571DB">
      <w:pPr>
        <w:rPr>
          <w:b/>
          <w:bCs/>
        </w:rPr>
      </w:pPr>
    </w:p>
    <w:p w14:paraId="50097630" w14:textId="77777777" w:rsidR="0029048F" w:rsidRDefault="0029048F" w:rsidP="004571DB">
      <w:pPr>
        <w:rPr>
          <w:b/>
          <w:bCs/>
        </w:rPr>
      </w:pPr>
    </w:p>
    <w:p w14:paraId="4C197199" w14:textId="77777777" w:rsidR="0029048F" w:rsidRDefault="0029048F" w:rsidP="004571DB">
      <w:pPr>
        <w:rPr>
          <w:b/>
          <w:bCs/>
        </w:rPr>
      </w:pPr>
    </w:p>
    <w:p w14:paraId="1E4C4210" w14:textId="77777777" w:rsidR="0029048F" w:rsidRDefault="0029048F" w:rsidP="004571DB">
      <w:pPr>
        <w:rPr>
          <w:b/>
          <w:bCs/>
        </w:rPr>
      </w:pPr>
    </w:p>
    <w:p w14:paraId="057BA62D" w14:textId="77777777" w:rsidR="0029048F" w:rsidRDefault="0029048F" w:rsidP="004571DB">
      <w:pPr>
        <w:rPr>
          <w:b/>
          <w:bCs/>
        </w:rPr>
      </w:pPr>
    </w:p>
    <w:p w14:paraId="43726CAC" w14:textId="77777777" w:rsidR="0029048F" w:rsidRDefault="0029048F" w:rsidP="004571DB">
      <w:pPr>
        <w:rPr>
          <w:b/>
          <w:bCs/>
        </w:rPr>
      </w:pPr>
    </w:p>
    <w:p w14:paraId="36B92AB9" w14:textId="77777777" w:rsidR="0029048F" w:rsidRDefault="0029048F" w:rsidP="004571DB">
      <w:pPr>
        <w:rPr>
          <w:b/>
          <w:bCs/>
        </w:rPr>
      </w:pPr>
    </w:p>
    <w:p w14:paraId="7C9DE616" w14:textId="77777777" w:rsidR="0029048F" w:rsidRDefault="0029048F" w:rsidP="004571DB">
      <w:pPr>
        <w:rPr>
          <w:b/>
          <w:bCs/>
        </w:rPr>
      </w:pPr>
    </w:p>
    <w:p w14:paraId="5CC827AC" w14:textId="77777777" w:rsidR="0029048F" w:rsidRDefault="0029048F" w:rsidP="004571DB">
      <w:pPr>
        <w:rPr>
          <w:b/>
          <w:bCs/>
        </w:rPr>
      </w:pPr>
    </w:p>
    <w:p w14:paraId="6DE97D42" w14:textId="77777777" w:rsidR="0029048F" w:rsidRDefault="0029048F" w:rsidP="004571DB">
      <w:pPr>
        <w:rPr>
          <w:b/>
          <w:bCs/>
        </w:rPr>
      </w:pPr>
    </w:p>
    <w:p w14:paraId="45AB33FB" w14:textId="77777777" w:rsidR="0029048F" w:rsidRDefault="0029048F" w:rsidP="004571DB">
      <w:pPr>
        <w:rPr>
          <w:b/>
          <w:bCs/>
        </w:rPr>
      </w:pPr>
    </w:p>
    <w:p w14:paraId="215B041E" w14:textId="77777777" w:rsidR="0029048F" w:rsidRDefault="0029048F" w:rsidP="004571DB">
      <w:pPr>
        <w:rPr>
          <w:b/>
          <w:bCs/>
        </w:rPr>
      </w:pPr>
    </w:p>
    <w:p w14:paraId="5FB43A11" w14:textId="77777777" w:rsidR="0029048F" w:rsidRDefault="0029048F" w:rsidP="004571DB">
      <w:pPr>
        <w:rPr>
          <w:b/>
          <w:bCs/>
        </w:rPr>
      </w:pPr>
    </w:p>
    <w:p w14:paraId="34368AF1" w14:textId="77777777" w:rsidR="0029048F" w:rsidRDefault="0029048F" w:rsidP="004571DB">
      <w:pPr>
        <w:rPr>
          <w:b/>
          <w:bCs/>
        </w:rPr>
      </w:pPr>
    </w:p>
    <w:p w14:paraId="78B14998" w14:textId="77777777" w:rsidR="0029048F" w:rsidRDefault="0029048F" w:rsidP="004571DB">
      <w:pPr>
        <w:rPr>
          <w:b/>
          <w:bCs/>
        </w:rPr>
      </w:pPr>
    </w:p>
    <w:p w14:paraId="60ACE05C" w14:textId="77777777" w:rsidR="0029048F" w:rsidRDefault="0029048F" w:rsidP="004571DB">
      <w:pPr>
        <w:rPr>
          <w:b/>
          <w:bCs/>
        </w:rPr>
      </w:pPr>
    </w:p>
    <w:p w14:paraId="14F76623" w14:textId="77777777" w:rsidR="0029048F" w:rsidRDefault="0029048F" w:rsidP="004571DB">
      <w:pPr>
        <w:rPr>
          <w:b/>
          <w:bCs/>
        </w:rPr>
      </w:pPr>
    </w:p>
    <w:p w14:paraId="552B5A45" w14:textId="77777777" w:rsidR="0029048F" w:rsidRDefault="0029048F" w:rsidP="004571DB">
      <w:pPr>
        <w:rPr>
          <w:b/>
          <w:bCs/>
        </w:rPr>
      </w:pPr>
    </w:p>
    <w:p w14:paraId="68F5BE6F" w14:textId="77777777" w:rsidR="0029048F" w:rsidRDefault="0029048F" w:rsidP="004571DB">
      <w:pPr>
        <w:rPr>
          <w:b/>
          <w:bCs/>
        </w:rPr>
      </w:pPr>
    </w:p>
    <w:p w14:paraId="734B9329" w14:textId="77777777" w:rsidR="0029048F" w:rsidRDefault="0029048F" w:rsidP="004571DB">
      <w:pPr>
        <w:rPr>
          <w:b/>
          <w:bCs/>
        </w:rPr>
      </w:pPr>
    </w:p>
    <w:p w14:paraId="45A5C0BF" w14:textId="77777777" w:rsidR="0029048F" w:rsidRDefault="0029048F" w:rsidP="004571DB">
      <w:pPr>
        <w:rPr>
          <w:b/>
          <w:bCs/>
        </w:rPr>
      </w:pPr>
    </w:p>
    <w:p w14:paraId="6D59AAC0" w14:textId="77777777" w:rsidR="0029048F" w:rsidRDefault="0029048F" w:rsidP="004571DB">
      <w:pPr>
        <w:rPr>
          <w:b/>
          <w:bCs/>
        </w:rPr>
      </w:pPr>
    </w:p>
    <w:p w14:paraId="0F3FB302" w14:textId="77777777" w:rsidR="0029048F" w:rsidRDefault="0029048F" w:rsidP="004571DB">
      <w:pPr>
        <w:rPr>
          <w:b/>
          <w:bCs/>
        </w:rPr>
      </w:pPr>
    </w:p>
    <w:p w14:paraId="6A6282C6" w14:textId="77777777" w:rsidR="0029048F" w:rsidRDefault="0029048F" w:rsidP="004571DB">
      <w:pPr>
        <w:rPr>
          <w:b/>
          <w:bCs/>
        </w:rPr>
      </w:pPr>
    </w:p>
    <w:p w14:paraId="48C09CD4" w14:textId="77777777" w:rsidR="0029048F" w:rsidRPr="00A724AC" w:rsidRDefault="0029048F" w:rsidP="0029048F">
      <w:pPr>
        <w:rPr>
          <w:b/>
          <w:bCs/>
        </w:rPr>
      </w:pPr>
      <w:r w:rsidRPr="00A724AC">
        <w:rPr>
          <w:b/>
          <w:bCs/>
        </w:rPr>
        <w:t>Figure 2: ‘Britain was First with… Thanks to Free Enterprise’.</w:t>
      </w:r>
      <w:r w:rsidRPr="00A724AC">
        <w:rPr>
          <w:rStyle w:val="FootnoteReference"/>
          <w:b/>
          <w:bCs/>
        </w:rPr>
        <w:footnoteReference w:id="25"/>
      </w:r>
    </w:p>
    <w:p w14:paraId="0E80971F" w14:textId="1645E8FE" w:rsidR="0029048F" w:rsidRDefault="0029048F" w:rsidP="004571DB">
      <w:pPr>
        <w:rPr>
          <w:b/>
          <w:bCs/>
        </w:rPr>
      </w:pPr>
    </w:p>
    <w:p w14:paraId="13080FCC" w14:textId="6928C629" w:rsidR="0029048F" w:rsidRDefault="0029048F" w:rsidP="004571DB">
      <w:pPr>
        <w:rPr>
          <w:b/>
          <w:bCs/>
        </w:rPr>
      </w:pPr>
      <w:r>
        <w:rPr>
          <w:noProof/>
          <w:lang w:eastAsia="en-GB"/>
        </w:rPr>
        <w:drawing>
          <wp:inline distT="0" distB="0" distL="0" distR="0" wp14:anchorId="5C46FB58" wp14:editId="0DA4934D">
            <wp:extent cx="6149342" cy="4399984"/>
            <wp:effectExtent l="0" t="0" r="0" b="0"/>
            <wp:docPr id="13" name="Picture 13" descr="../../../Pictures/Photos%20Library.photoslibrary/resources/proxies/derivatives/35/00/352f/0BZiZHJzTguVS2h9%25mKHXA_thumb_3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proxies/derivatives/35/00/352f/0BZiZHJzTguVS2h9%25mKHXA_thumb_352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6380"/>
                    <a:stretch/>
                  </pic:blipFill>
                  <pic:spPr bwMode="auto">
                    <a:xfrm>
                      <a:off x="0" y="0"/>
                      <a:ext cx="6164145" cy="4410576"/>
                    </a:xfrm>
                    <a:prstGeom prst="rect">
                      <a:avLst/>
                    </a:prstGeom>
                    <a:noFill/>
                    <a:ln>
                      <a:noFill/>
                    </a:ln>
                    <a:extLst>
                      <a:ext uri="{53640926-AAD7-44D8-BBD7-CCE9431645EC}">
                        <a14:shadowObscured xmlns:a14="http://schemas.microsoft.com/office/drawing/2010/main"/>
                      </a:ext>
                    </a:extLst>
                  </pic:spPr>
                </pic:pic>
              </a:graphicData>
            </a:graphic>
          </wp:inline>
        </w:drawing>
      </w:r>
    </w:p>
    <w:p w14:paraId="00537BB0" w14:textId="77777777" w:rsidR="0029048F" w:rsidRDefault="0029048F" w:rsidP="004571DB">
      <w:pPr>
        <w:rPr>
          <w:b/>
          <w:bCs/>
        </w:rPr>
      </w:pPr>
    </w:p>
    <w:p w14:paraId="7E04DA6F" w14:textId="77777777" w:rsidR="0029048F" w:rsidRDefault="0029048F" w:rsidP="004571DB">
      <w:pPr>
        <w:rPr>
          <w:b/>
          <w:bCs/>
        </w:rPr>
      </w:pPr>
    </w:p>
    <w:p w14:paraId="19697C48" w14:textId="708DDAEC" w:rsidR="004571DB" w:rsidRDefault="004571DB" w:rsidP="004571DB">
      <w:pPr>
        <w:rPr>
          <w:b/>
          <w:bCs/>
        </w:rPr>
      </w:pPr>
      <w:r>
        <w:rPr>
          <w:b/>
          <w:bCs/>
        </w:rPr>
        <w:t xml:space="preserve">The </w:t>
      </w:r>
      <w:proofErr w:type="spellStart"/>
      <w:r>
        <w:rPr>
          <w:b/>
          <w:bCs/>
        </w:rPr>
        <w:t>IoD</w:t>
      </w:r>
      <w:proofErr w:type="spellEnd"/>
      <w:r>
        <w:rPr>
          <w:b/>
          <w:bCs/>
        </w:rPr>
        <w:t xml:space="preserve"> as a Foundational Network: Strategy and Fundraising</w:t>
      </w:r>
    </w:p>
    <w:p w14:paraId="7ED1A487" w14:textId="77777777" w:rsidR="004571DB" w:rsidRDefault="004571DB" w:rsidP="004571DB">
      <w:pPr>
        <w:rPr>
          <w:rFonts w:cs="Helvetica Neue"/>
          <w:color w:val="000000"/>
        </w:rPr>
      </w:pPr>
    </w:p>
    <w:p w14:paraId="2B94D34C" w14:textId="5973FA3F" w:rsidR="00F71E0E" w:rsidRPr="00F71E0E" w:rsidRDefault="002468BA" w:rsidP="00F71E0E">
      <w:pPr>
        <w:rPr>
          <w:rFonts w:cs="Helvetica Neue"/>
          <w:color w:val="000000"/>
        </w:rPr>
      </w:pPr>
      <w:r>
        <w:rPr>
          <w:rFonts w:cs="Helvetica Neue"/>
          <w:color w:val="000000"/>
        </w:rPr>
        <w:t xml:space="preserve">While the </w:t>
      </w:r>
      <w:proofErr w:type="spellStart"/>
      <w:r>
        <w:rPr>
          <w:rFonts w:cs="Helvetica Neue"/>
          <w:color w:val="000000"/>
        </w:rPr>
        <w:t>IoD</w:t>
      </w:r>
      <w:proofErr w:type="spellEnd"/>
      <w:r>
        <w:rPr>
          <w:rFonts w:cs="Helvetica Neue"/>
          <w:color w:val="000000"/>
        </w:rPr>
        <w:t xml:space="preserve"> might not have had much success with its efforts to alter public opinion through </w:t>
      </w:r>
      <w:r w:rsidR="00E8332C">
        <w:rPr>
          <w:rFonts w:cs="Helvetica Neue"/>
          <w:color w:val="000000"/>
        </w:rPr>
        <w:t>the</w:t>
      </w:r>
      <w:r>
        <w:rPr>
          <w:rFonts w:cs="Helvetica Neue"/>
          <w:color w:val="000000"/>
        </w:rPr>
        <w:t xml:space="preserve"> free enterprise campaign, it </w:t>
      </w:r>
      <w:r w:rsidR="00E40D5F">
        <w:rPr>
          <w:rFonts w:cs="Helvetica Neue"/>
          <w:color w:val="000000"/>
        </w:rPr>
        <w:t xml:space="preserve">did have a significant impact on the development of </w:t>
      </w:r>
      <w:r w:rsidR="00F71E0E">
        <w:rPr>
          <w:rFonts w:cs="Helvetica Neue"/>
          <w:color w:val="000000"/>
        </w:rPr>
        <w:t xml:space="preserve">business and </w:t>
      </w:r>
      <w:r w:rsidR="00E40D5F">
        <w:rPr>
          <w:rFonts w:cs="Helvetica Neue"/>
          <w:color w:val="000000"/>
        </w:rPr>
        <w:t xml:space="preserve">neoliberalism in the </w:t>
      </w:r>
      <w:r w:rsidR="00D263A5">
        <w:rPr>
          <w:rFonts w:cs="Helvetica Neue"/>
          <w:color w:val="000000"/>
        </w:rPr>
        <w:t>post-war years</w:t>
      </w:r>
      <w:r w:rsidR="00E40D5F">
        <w:rPr>
          <w:rFonts w:cs="Helvetica Neue"/>
          <w:color w:val="000000"/>
        </w:rPr>
        <w:t xml:space="preserve">. Firstly, because it acted as a consciousness raising exercise, inspiring directors to organise against post-war social democracy. </w:t>
      </w:r>
      <w:r w:rsidR="00545033">
        <w:rPr>
          <w:rFonts w:cs="Helvetica Neue"/>
          <w:color w:val="000000"/>
        </w:rPr>
        <w:t>As a result, t</w:t>
      </w:r>
      <w:r w:rsidR="00E40D5F">
        <w:rPr>
          <w:rFonts w:cs="Helvetica Neue"/>
          <w:color w:val="000000"/>
        </w:rPr>
        <w:t xml:space="preserve">he institute </w:t>
      </w:r>
      <w:r w:rsidR="00E8332C">
        <w:rPr>
          <w:rFonts w:cs="Helvetica Neue"/>
          <w:color w:val="000000"/>
        </w:rPr>
        <w:t>birthed</w:t>
      </w:r>
      <w:r w:rsidR="00E40D5F">
        <w:rPr>
          <w:rFonts w:cs="Helvetica Neue"/>
          <w:color w:val="000000"/>
        </w:rPr>
        <w:t xml:space="preserve"> a network of organised business committed to the fight for free enterpris</w:t>
      </w:r>
      <w:r w:rsidR="00F71E0E">
        <w:rPr>
          <w:rFonts w:cs="Helvetica Neue"/>
          <w:color w:val="000000"/>
        </w:rPr>
        <w:t>e. As this movement grew and become more sophisticated</w:t>
      </w:r>
      <w:r w:rsidR="00080DCA">
        <w:rPr>
          <w:rFonts w:cs="Helvetica Neue"/>
          <w:color w:val="000000"/>
        </w:rPr>
        <w:t xml:space="preserve">, it </w:t>
      </w:r>
      <w:r w:rsidR="00F71E0E">
        <w:rPr>
          <w:rFonts w:cs="Helvetica Neue"/>
          <w:color w:val="000000"/>
        </w:rPr>
        <w:t xml:space="preserve">developed new institutions such as the IEA, the IPG, </w:t>
      </w:r>
      <w:r w:rsidR="00080DCA">
        <w:rPr>
          <w:rFonts w:cs="Helvetica Neue"/>
          <w:color w:val="000000"/>
        </w:rPr>
        <w:t xml:space="preserve">which </w:t>
      </w:r>
      <w:r w:rsidR="00F71E0E">
        <w:rPr>
          <w:rFonts w:cs="Helvetica Neue"/>
          <w:color w:val="000000"/>
        </w:rPr>
        <w:t xml:space="preserve">thanks to the </w:t>
      </w:r>
      <w:proofErr w:type="spellStart"/>
      <w:r w:rsidR="00F71E0E">
        <w:rPr>
          <w:rFonts w:cs="Helvetica Neue"/>
          <w:color w:val="000000"/>
        </w:rPr>
        <w:t>IoD</w:t>
      </w:r>
      <w:proofErr w:type="spellEnd"/>
      <w:r w:rsidR="00F71E0E">
        <w:rPr>
          <w:rFonts w:cs="Helvetica Neue"/>
          <w:color w:val="000000"/>
        </w:rPr>
        <w:t xml:space="preserve">, </w:t>
      </w:r>
      <w:r w:rsidR="002A30B5">
        <w:rPr>
          <w:rFonts w:cs="Helvetica Neue"/>
          <w:color w:val="000000"/>
        </w:rPr>
        <w:t xml:space="preserve">meant </w:t>
      </w:r>
      <w:r w:rsidR="00F71E0E">
        <w:rPr>
          <w:rFonts w:cs="Helvetica Neue"/>
          <w:color w:val="000000"/>
        </w:rPr>
        <w:t xml:space="preserve">there was already a corps of business figures, willing to fund efforts to oppose post-war social democracy. Indeed, many of the </w:t>
      </w:r>
      <w:proofErr w:type="spellStart"/>
      <w:r w:rsidR="00F71E0E">
        <w:rPr>
          <w:rFonts w:cs="Helvetica Neue"/>
          <w:color w:val="000000"/>
        </w:rPr>
        <w:t>IoD’s</w:t>
      </w:r>
      <w:proofErr w:type="spellEnd"/>
      <w:r w:rsidR="00F71E0E">
        <w:rPr>
          <w:rFonts w:cs="Helvetica Neue"/>
          <w:color w:val="000000"/>
        </w:rPr>
        <w:t xml:space="preserve"> members appear as participants and financiers of both the IEA and IPG, for instance, Paul Chambers, the </w:t>
      </w:r>
      <w:r w:rsidR="00080DCA">
        <w:rPr>
          <w:rFonts w:cs="Helvetica Neue"/>
          <w:color w:val="000000"/>
        </w:rPr>
        <w:t>D</w:t>
      </w:r>
      <w:r w:rsidR="00F71E0E">
        <w:rPr>
          <w:rFonts w:cs="Helvetica Neue"/>
          <w:color w:val="000000"/>
        </w:rPr>
        <w:t xml:space="preserve">irector of ICI and founder of the IPG served as Spears </w:t>
      </w:r>
      <w:r w:rsidR="00080DCA">
        <w:rPr>
          <w:rFonts w:cs="Helvetica Neue"/>
          <w:color w:val="000000"/>
        </w:rPr>
        <w:t xml:space="preserve">successor when he </w:t>
      </w:r>
      <w:r w:rsidR="00F71E0E">
        <w:rPr>
          <w:rFonts w:cs="Helvetica Neue"/>
          <w:color w:val="000000"/>
        </w:rPr>
        <w:t xml:space="preserve">retired. Similarly, Marcus </w:t>
      </w:r>
      <w:proofErr w:type="spellStart"/>
      <w:r w:rsidR="00F71E0E">
        <w:rPr>
          <w:rFonts w:cs="Helvetica Neue"/>
          <w:color w:val="000000"/>
        </w:rPr>
        <w:t>Sieff</w:t>
      </w:r>
      <w:proofErr w:type="spellEnd"/>
      <w:r w:rsidR="00F71E0E">
        <w:rPr>
          <w:rFonts w:cs="Helvetica Neue"/>
          <w:color w:val="000000"/>
        </w:rPr>
        <w:t xml:space="preserve">, the Chairman of M&amp;S </w:t>
      </w:r>
      <w:r w:rsidR="00080DCA">
        <w:rPr>
          <w:rFonts w:cs="Helvetica Neue"/>
          <w:color w:val="000000"/>
        </w:rPr>
        <w:t>(1972-1982)</w:t>
      </w:r>
      <w:r w:rsidR="00A6131A">
        <w:rPr>
          <w:rFonts w:cs="Helvetica Neue"/>
          <w:color w:val="000000"/>
        </w:rPr>
        <w:t>,</w:t>
      </w:r>
      <w:r w:rsidR="00080DCA">
        <w:rPr>
          <w:rFonts w:cs="Helvetica Neue"/>
          <w:color w:val="000000"/>
        </w:rPr>
        <w:t xml:space="preserve"> </w:t>
      </w:r>
      <w:r w:rsidR="00F71E0E">
        <w:rPr>
          <w:rFonts w:cs="Helvetica Neue"/>
          <w:color w:val="000000"/>
        </w:rPr>
        <w:t xml:space="preserve">who </w:t>
      </w:r>
      <w:r w:rsidR="00080DCA">
        <w:rPr>
          <w:rFonts w:cs="Helvetica Neue"/>
          <w:color w:val="000000"/>
        </w:rPr>
        <w:t xml:space="preserve">had </w:t>
      </w:r>
      <w:r w:rsidR="00F71E0E">
        <w:rPr>
          <w:rFonts w:cs="Helvetica Neue"/>
          <w:color w:val="000000"/>
        </w:rPr>
        <w:t>g</w:t>
      </w:r>
      <w:r w:rsidR="00080DCA">
        <w:rPr>
          <w:rFonts w:cs="Helvetica Neue"/>
          <w:color w:val="000000"/>
        </w:rPr>
        <w:t>iven</w:t>
      </w:r>
      <w:r w:rsidR="00F71E0E">
        <w:rPr>
          <w:rFonts w:cs="Helvetica Neue"/>
          <w:color w:val="000000"/>
        </w:rPr>
        <w:t xml:space="preserve"> money to </w:t>
      </w:r>
      <w:r w:rsidR="00080DCA">
        <w:rPr>
          <w:rFonts w:cs="Helvetica Neue"/>
          <w:color w:val="000000"/>
        </w:rPr>
        <w:t xml:space="preserve">the </w:t>
      </w:r>
      <w:r w:rsidR="00F71E0E">
        <w:rPr>
          <w:rFonts w:cs="Helvetica Neue"/>
          <w:color w:val="000000"/>
        </w:rPr>
        <w:t>free enterprise campaign</w:t>
      </w:r>
      <w:r w:rsidR="00A6131A">
        <w:rPr>
          <w:rFonts w:cs="Helvetica Neue"/>
          <w:color w:val="000000"/>
        </w:rPr>
        <w:t>,</w:t>
      </w:r>
      <w:r w:rsidR="00F71E0E">
        <w:rPr>
          <w:rFonts w:cs="Helvetica Neue"/>
          <w:color w:val="000000"/>
        </w:rPr>
        <w:t xml:space="preserve"> </w:t>
      </w:r>
      <w:r w:rsidR="00D263A5">
        <w:rPr>
          <w:rFonts w:cs="Helvetica Neue"/>
          <w:color w:val="000000"/>
        </w:rPr>
        <w:t xml:space="preserve">later </w:t>
      </w:r>
      <w:r w:rsidR="00F71E0E">
        <w:rPr>
          <w:rFonts w:cs="Helvetica Neue"/>
          <w:color w:val="000000"/>
        </w:rPr>
        <w:t>became a fundraiser for the IEA.</w:t>
      </w:r>
      <w:r w:rsidR="00F71E0E">
        <w:rPr>
          <w:rStyle w:val="FootnoteReference"/>
          <w:rFonts w:cs="Helvetica Neue"/>
          <w:color w:val="000000"/>
        </w:rPr>
        <w:footnoteReference w:id="26"/>
      </w:r>
      <w:r w:rsidR="00F71E0E">
        <w:rPr>
          <w:rFonts w:cs="Helvetica Neue"/>
          <w:color w:val="000000"/>
        </w:rPr>
        <w:t xml:space="preserve"> </w:t>
      </w:r>
    </w:p>
    <w:p w14:paraId="5CA15364" w14:textId="077AE44D" w:rsidR="00E40D5F" w:rsidRDefault="00E40D5F" w:rsidP="004571DB">
      <w:pPr>
        <w:rPr>
          <w:rFonts w:cs="Helvetica Neue"/>
          <w:color w:val="000000"/>
        </w:rPr>
      </w:pPr>
    </w:p>
    <w:p w14:paraId="31766676" w14:textId="7E87F89D" w:rsidR="00BB6801" w:rsidRDefault="00F71E0E" w:rsidP="004571DB">
      <w:pPr>
        <w:rPr>
          <w:rFonts w:cs="Helvetica Neue"/>
          <w:color w:val="000000"/>
        </w:rPr>
      </w:pPr>
      <w:r>
        <w:rPr>
          <w:rFonts w:cs="Helvetica Neue"/>
          <w:color w:val="000000"/>
        </w:rPr>
        <w:t>Furthermore, the development of these institutions ha</w:t>
      </w:r>
      <w:r w:rsidR="005B6C06">
        <w:rPr>
          <w:rFonts w:cs="Helvetica Neue"/>
          <w:color w:val="000000"/>
        </w:rPr>
        <w:t>d</w:t>
      </w:r>
      <w:r>
        <w:rPr>
          <w:rFonts w:cs="Helvetica Neue"/>
          <w:color w:val="000000"/>
        </w:rPr>
        <w:t xml:space="preserve"> their roots in the </w:t>
      </w:r>
      <w:proofErr w:type="spellStart"/>
      <w:r>
        <w:rPr>
          <w:rFonts w:cs="Helvetica Neue"/>
          <w:color w:val="000000"/>
        </w:rPr>
        <w:t>IoD</w:t>
      </w:r>
      <w:proofErr w:type="spellEnd"/>
      <w:r>
        <w:rPr>
          <w:rFonts w:cs="Helvetica Neue"/>
          <w:color w:val="000000"/>
        </w:rPr>
        <w:t xml:space="preserve">. In the early 1950s, the </w:t>
      </w:r>
      <w:proofErr w:type="spellStart"/>
      <w:r>
        <w:rPr>
          <w:rFonts w:cs="Helvetica Neue"/>
          <w:color w:val="000000"/>
        </w:rPr>
        <w:t>IoD</w:t>
      </w:r>
      <w:proofErr w:type="spellEnd"/>
      <w:r>
        <w:rPr>
          <w:rFonts w:cs="Helvetica Neue"/>
          <w:color w:val="000000"/>
        </w:rPr>
        <w:t xml:space="preserve"> served as a </w:t>
      </w:r>
      <w:r w:rsidR="00FC0AE5">
        <w:rPr>
          <w:rFonts w:cs="Helvetica Neue"/>
          <w:color w:val="000000"/>
        </w:rPr>
        <w:t>site f</w:t>
      </w:r>
      <w:r w:rsidR="009E749D">
        <w:rPr>
          <w:rFonts w:cs="Helvetica Neue"/>
          <w:color w:val="000000"/>
        </w:rPr>
        <w:t xml:space="preserve">or the </w:t>
      </w:r>
      <w:r w:rsidR="00E8332C">
        <w:rPr>
          <w:rFonts w:cs="Helvetica Neue"/>
          <w:color w:val="000000"/>
        </w:rPr>
        <w:t>advocacy of neoliberal arguments</w:t>
      </w:r>
      <w:r w:rsidR="00FC0AE5">
        <w:rPr>
          <w:rFonts w:cs="Helvetica Neue"/>
          <w:color w:val="000000"/>
        </w:rPr>
        <w:t>.</w:t>
      </w:r>
      <w:r w:rsidR="009E749D">
        <w:rPr>
          <w:rFonts w:cs="Helvetica Neue"/>
          <w:color w:val="000000"/>
        </w:rPr>
        <w:t xml:space="preserve"> </w:t>
      </w:r>
      <w:r w:rsidR="00FD1509">
        <w:rPr>
          <w:rFonts w:cs="Helvetica Neue"/>
          <w:color w:val="000000"/>
        </w:rPr>
        <w:t xml:space="preserve">The free enterprise campaign </w:t>
      </w:r>
      <w:r w:rsidR="00B11E28">
        <w:rPr>
          <w:rFonts w:cs="Helvetica Neue"/>
          <w:color w:val="000000"/>
        </w:rPr>
        <w:t xml:space="preserve">was </w:t>
      </w:r>
      <w:r w:rsidR="00E8332C">
        <w:rPr>
          <w:rFonts w:cs="Helvetica Neue"/>
          <w:color w:val="000000"/>
        </w:rPr>
        <w:t>an experiment in</w:t>
      </w:r>
      <w:r w:rsidR="00FD1509">
        <w:rPr>
          <w:rFonts w:cs="Helvetica Neue"/>
          <w:color w:val="000000"/>
        </w:rPr>
        <w:t xml:space="preserve"> put</w:t>
      </w:r>
      <w:r w:rsidR="00E8332C">
        <w:rPr>
          <w:rFonts w:cs="Helvetica Neue"/>
          <w:color w:val="000000"/>
        </w:rPr>
        <w:t>ting</w:t>
      </w:r>
      <w:r w:rsidR="00FD1509">
        <w:rPr>
          <w:rFonts w:cs="Helvetica Neue"/>
          <w:color w:val="000000"/>
        </w:rPr>
        <w:t xml:space="preserve"> the argument </w:t>
      </w:r>
      <w:r w:rsidR="00E8332C">
        <w:rPr>
          <w:rFonts w:cs="Helvetica Neue"/>
          <w:color w:val="000000"/>
        </w:rPr>
        <w:t xml:space="preserve">for private enterprise </w:t>
      </w:r>
      <w:r w:rsidR="00FD1509">
        <w:rPr>
          <w:rFonts w:cs="Helvetica Neue"/>
          <w:color w:val="000000"/>
        </w:rPr>
        <w:t>before the public</w:t>
      </w:r>
      <w:r w:rsidR="00A84AE2">
        <w:rPr>
          <w:rFonts w:cs="Helvetica Neue"/>
          <w:color w:val="000000"/>
        </w:rPr>
        <w:t xml:space="preserve"> by </w:t>
      </w:r>
      <w:r w:rsidR="00B11E28">
        <w:rPr>
          <w:rFonts w:cs="Helvetica Neue"/>
          <w:color w:val="000000"/>
        </w:rPr>
        <w:t xml:space="preserve">neoliberals in the </w:t>
      </w:r>
      <w:r w:rsidR="00A84AE2">
        <w:rPr>
          <w:rFonts w:cs="Helvetica Neue"/>
          <w:color w:val="000000"/>
        </w:rPr>
        <w:t>business</w:t>
      </w:r>
      <w:r w:rsidR="00B11E28">
        <w:rPr>
          <w:rFonts w:cs="Helvetica Neue"/>
          <w:color w:val="000000"/>
        </w:rPr>
        <w:t xml:space="preserve"> community</w:t>
      </w:r>
      <w:r w:rsidR="00FD1509">
        <w:rPr>
          <w:rFonts w:cs="Helvetica Neue"/>
          <w:color w:val="000000"/>
        </w:rPr>
        <w:t>. It was in th</w:t>
      </w:r>
      <w:r w:rsidR="00A6131A">
        <w:rPr>
          <w:rFonts w:cs="Helvetica Neue"/>
          <w:color w:val="000000"/>
        </w:rPr>
        <w:t>e</w:t>
      </w:r>
      <w:r w:rsidR="00FD1509">
        <w:rPr>
          <w:rFonts w:cs="Helvetica Neue"/>
          <w:color w:val="000000"/>
        </w:rPr>
        <w:t xml:space="preserve"> context of this failure that the IEA and IPG developed their strategy, honing their argument and using more subtle and sophisticated methods to put their message to the </w:t>
      </w:r>
      <w:r w:rsidR="00E8332C">
        <w:rPr>
          <w:rFonts w:cs="Helvetica Neue"/>
          <w:color w:val="000000"/>
        </w:rPr>
        <w:t>British people</w:t>
      </w:r>
      <w:r w:rsidR="00FD1509">
        <w:rPr>
          <w:rFonts w:cs="Helvetica Neue"/>
          <w:color w:val="000000"/>
        </w:rPr>
        <w:t xml:space="preserve">. For instance, when formulating </w:t>
      </w:r>
      <w:r w:rsidR="00E8332C">
        <w:rPr>
          <w:rFonts w:cs="Helvetica Neue"/>
          <w:color w:val="000000"/>
        </w:rPr>
        <w:t>its</w:t>
      </w:r>
      <w:r w:rsidR="00FD1509">
        <w:rPr>
          <w:rFonts w:cs="Helvetica Neue"/>
          <w:color w:val="000000"/>
        </w:rPr>
        <w:t xml:space="preserve"> </w:t>
      </w:r>
      <w:r w:rsidR="00E8332C">
        <w:rPr>
          <w:rFonts w:cs="Helvetica Neue"/>
          <w:color w:val="000000"/>
        </w:rPr>
        <w:t>strategy,</w:t>
      </w:r>
      <w:r w:rsidR="00FD1509">
        <w:rPr>
          <w:rFonts w:cs="Helvetica Neue"/>
          <w:color w:val="000000"/>
        </w:rPr>
        <w:t xml:space="preserve"> the IEA aimed for academic integrity</w:t>
      </w:r>
      <w:r w:rsidR="00E8332C">
        <w:rPr>
          <w:rFonts w:cs="Helvetica Neue"/>
          <w:color w:val="000000"/>
        </w:rPr>
        <w:t xml:space="preserve"> in order to avoid the pitfalls of the free enterprise campaign.</w:t>
      </w:r>
      <w:r w:rsidR="00FD1509">
        <w:rPr>
          <w:rFonts w:cs="Helvetica Neue"/>
          <w:color w:val="000000"/>
        </w:rPr>
        <w:t xml:space="preserve"> </w:t>
      </w:r>
      <w:r w:rsidR="00E8332C">
        <w:rPr>
          <w:rFonts w:cs="Helvetica Neue"/>
          <w:color w:val="000000"/>
        </w:rPr>
        <w:t>T</w:t>
      </w:r>
      <w:r w:rsidR="00FD1509">
        <w:rPr>
          <w:rFonts w:cs="Helvetica Neue"/>
          <w:color w:val="000000"/>
        </w:rPr>
        <w:t>his they argued</w:t>
      </w:r>
      <w:r w:rsidR="00E8332C">
        <w:rPr>
          <w:rFonts w:cs="Helvetica Neue"/>
          <w:color w:val="000000"/>
        </w:rPr>
        <w:t>,</w:t>
      </w:r>
      <w:r w:rsidR="00FD1509">
        <w:rPr>
          <w:rFonts w:cs="Helvetica Neue"/>
          <w:color w:val="000000"/>
        </w:rPr>
        <w:t xml:space="preserve"> was ‘</w:t>
      </w:r>
      <w:r w:rsidR="00FD1509" w:rsidRPr="00FD1509">
        <w:rPr>
          <w:rFonts w:cs="Helvetica Neue"/>
          <w:color w:val="000000"/>
        </w:rPr>
        <w:t>the difference between propaganda</w:t>
      </w:r>
      <w:r w:rsidR="00A70E0B">
        <w:rPr>
          <w:rFonts w:cs="Helvetica Neue"/>
          <w:color w:val="000000"/>
        </w:rPr>
        <w:t>’</w:t>
      </w:r>
      <w:r w:rsidR="00FD1509" w:rsidRPr="00FD1509">
        <w:rPr>
          <w:rFonts w:cs="Helvetica Neue"/>
          <w:color w:val="000000"/>
        </w:rPr>
        <w:t xml:space="preserve"> and</w:t>
      </w:r>
      <w:r w:rsidR="00A70E0B">
        <w:rPr>
          <w:rFonts w:cs="Helvetica Neue"/>
          <w:color w:val="000000"/>
        </w:rPr>
        <w:t xml:space="preserve"> effective</w:t>
      </w:r>
      <w:r w:rsidR="00FD1509" w:rsidRPr="00FD1509">
        <w:rPr>
          <w:rFonts w:cs="Helvetica Neue"/>
          <w:color w:val="000000"/>
        </w:rPr>
        <w:t xml:space="preserve"> </w:t>
      </w:r>
      <w:r w:rsidR="00A70E0B">
        <w:rPr>
          <w:rFonts w:cs="Helvetica Neue"/>
          <w:color w:val="000000"/>
        </w:rPr>
        <w:t>‘</w:t>
      </w:r>
      <w:r w:rsidR="00FD1509" w:rsidRPr="00FD1509">
        <w:rPr>
          <w:rFonts w:cs="Helvetica Neue"/>
          <w:color w:val="000000"/>
        </w:rPr>
        <w:t>education</w:t>
      </w:r>
      <w:r w:rsidR="00FD1509">
        <w:rPr>
          <w:rFonts w:cs="Helvetica Neue"/>
          <w:color w:val="000000"/>
        </w:rPr>
        <w:t>’.</w:t>
      </w:r>
      <w:r w:rsidR="00FD1509">
        <w:rPr>
          <w:rStyle w:val="FootnoteReference"/>
          <w:rFonts w:cs="Helvetica Neue"/>
          <w:color w:val="000000"/>
        </w:rPr>
        <w:footnoteReference w:id="27"/>
      </w:r>
      <w:r w:rsidR="00E012A8">
        <w:rPr>
          <w:rFonts w:cs="Helvetica Neue"/>
          <w:color w:val="000000"/>
        </w:rPr>
        <w:t xml:space="preserve"> </w:t>
      </w:r>
      <w:r w:rsidR="00A84AE2">
        <w:rPr>
          <w:rFonts w:cs="Helvetica Neue"/>
          <w:color w:val="000000"/>
        </w:rPr>
        <w:t xml:space="preserve">Overall, the </w:t>
      </w:r>
      <w:proofErr w:type="spellStart"/>
      <w:r w:rsidR="00A84AE2">
        <w:rPr>
          <w:rFonts w:cs="Helvetica Neue"/>
          <w:color w:val="000000"/>
        </w:rPr>
        <w:t>IoD</w:t>
      </w:r>
      <w:proofErr w:type="spellEnd"/>
      <w:r w:rsidR="00A84AE2">
        <w:rPr>
          <w:rFonts w:cs="Helvetica Neue"/>
          <w:color w:val="000000"/>
        </w:rPr>
        <w:t xml:space="preserve"> should</w:t>
      </w:r>
      <w:r w:rsidR="004571DB">
        <w:rPr>
          <w:rFonts w:cs="Helvetica Neue"/>
          <w:color w:val="000000"/>
        </w:rPr>
        <w:t xml:space="preserve"> be seen as pivotal </w:t>
      </w:r>
      <w:r w:rsidR="00E012A8">
        <w:rPr>
          <w:rFonts w:cs="Helvetica Neue"/>
          <w:color w:val="000000"/>
        </w:rPr>
        <w:t>in two regards</w:t>
      </w:r>
      <w:r w:rsidR="004571DB">
        <w:rPr>
          <w:rFonts w:cs="Helvetica Neue"/>
          <w:color w:val="000000"/>
        </w:rPr>
        <w:t xml:space="preserve">. Firstly, for </w:t>
      </w:r>
      <w:r w:rsidR="00A54D90">
        <w:rPr>
          <w:rFonts w:cs="Helvetica Neue"/>
          <w:color w:val="000000"/>
        </w:rPr>
        <w:t>creating</w:t>
      </w:r>
      <w:r w:rsidR="004571DB">
        <w:rPr>
          <w:rFonts w:cs="Helvetica Neue"/>
          <w:color w:val="000000"/>
        </w:rPr>
        <w:t xml:space="preserve"> a network of business opposition to the </w:t>
      </w:r>
      <w:r w:rsidR="00E012A8">
        <w:rPr>
          <w:rFonts w:cs="Helvetica Neue"/>
          <w:color w:val="000000"/>
        </w:rPr>
        <w:t>post-war social democracy</w:t>
      </w:r>
      <w:r w:rsidR="004571DB">
        <w:rPr>
          <w:rFonts w:cs="Helvetica Neue"/>
          <w:color w:val="000000"/>
        </w:rPr>
        <w:t>.</w:t>
      </w:r>
      <w:r w:rsidR="00A84AE2">
        <w:rPr>
          <w:rFonts w:cs="Helvetica Neue"/>
          <w:color w:val="000000"/>
        </w:rPr>
        <w:t xml:space="preserve"> </w:t>
      </w:r>
      <w:r w:rsidR="004571DB">
        <w:rPr>
          <w:rFonts w:cs="Helvetica Neue"/>
          <w:color w:val="000000"/>
        </w:rPr>
        <w:t xml:space="preserve">Secondly, for creating a </w:t>
      </w:r>
      <w:r w:rsidR="00A84AE2">
        <w:rPr>
          <w:rFonts w:cs="Helvetica Neue"/>
          <w:color w:val="000000"/>
        </w:rPr>
        <w:t>s</w:t>
      </w:r>
      <w:r w:rsidR="004571DB">
        <w:rPr>
          <w:rFonts w:cs="Helvetica Neue"/>
          <w:color w:val="000000"/>
        </w:rPr>
        <w:t xml:space="preserve">pace </w:t>
      </w:r>
      <w:r w:rsidR="00E012A8">
        <w:rPr>
          <w:rFonts w:cs="Helvetica Neue"/>
          <w:color w:val="000000"/>
        </w:rPr>
        <w:t>for</w:t>
      </w:r>
      <w:r w:rsidR="004571DB">
        <w:rPr>
          <w:rFonts w:cs="Helvetica Neue"/>
          <w:color w:val="000000"/>
        </w:rPr>
        <w:t xml:space="preserve"> this network </w:t>
      </w:r>
      <w:r w:rsidR="00E012A8">
        <w:rPr>
          <w:rFonts w:cs="Helvetica Neue"/>
          <w:color w:val="000000"/>
        </w:rPr>
        <w:t>to</w:t>
      </w:r>
      <w:r w:rsidR="004571DB">
        <w:rPr>
          <w:rFonts w:cs="Helvetica Neue"/>
          <w:color w:val="000000"/>
        </w:rPr>
        <w:t xml:space="preserve"> pool their resources and experiment with </w:t>
      </w:r>
      <w:r w:rsidR="00A84AE2">
        <w:rPr>
          <w:rFonts w:cs="Helvetica Neue"/>
          <w:color w:val="000000"/>
        </w:rPr>
        <w:t xml:space="preserve">different strategic approaches, laying the foundation for later </w:t>
      </w:r>
      <w:r w:rsidR="0089304C">
        <w:rPr>
          <w:rFonts w:cs="Helvetica Neue"/>
          <w:color w:val="000000"/>
        </w:rPr>
        <w:t>developments</w:t>
      </w:r>
      <w:r w:rsidR="00BB6801">
        <w:rPr>
          <w:rFonts w:cs="Helvetica Neue"/>
          <w:color w:val="000000"/>
        </w:rPr>
        <w:t xml:space="preserve"> and success</w:t>
      </w:r>
      <w:r w:rsidR="0055641C">
        <w:rPr>
          <w:rFonts w:cs="Helvetica Neue"/>
          <w:color w:val="000000"/>
        </w:rPr>
        <w:t>es</w:t>
      </w:r>
      <w:r w:rsidR="00A84AE2">
        <w:rPr>
          <w:rFonts w:cs="Helvetica Neue"/>
          <w:color w:val="000000"/>
        </w:rPr>
        <w:t>.</w:t>
      </w:r>
      <w:r w:rsidR="00BB6801">
        <w:rPr>
          <w:rFonts w:cs="Helvetica Neue"/>
          <w:color w:val="000000"/>
        </w:rPr>
        <w:t xml:space="preserve"> </w:t>
      </w:r>
    </w:p>
    <w:p w14:paraId="200CF319" w14:textId="77777777" w:rsidR="001529A6" w:rsidRDefault="001529A6" w:rsidP="004571DB">
      <w:pPr>
        <w:rPr>
          <w:rFonts w:cs="Helvetica Neue"/>
          <w:color w:val="000000"/>
        </w:rPr>
      </w:pPr>
    </w:p>
    <w:p w14:paraId="1718D84E" w14:textId="2E6BA896" w:rsidR="00EA36AB" w:rsidRPr="00102784" w:rsidRDefault="00A84AE2" w:rsidP="004571DB">
      <w:pPr>
        <w:rPr>
          <w:rFonts w:cs="Helvetica Neue"/>
          <w:b/>
          <w:bCs/>
          <w:color w:val="000000"/>
        </w:rPr>
      </w:pPr>
      <w:r w:rsidRPr="00102784">
        <w:rPr>
          <w:rFonts w:cs="Helvetica Neue"/>
          <w:b/>
          <w:bCs/>
          <w:color w:val="000000"/>
        </w:rPr>
        <w:t>Conclusion</w:t>
      </w:r>
    </w:p>
    <w:p w14:paraId="09EC911E" w14:textId="77777777" w:rsidR="00383152" w:rsidRDefault="00383152" w:rsidP="00383152"/>
    <w:p w14:paraId="385A536E" w14:textId="33340A45" w:rsidR="00EA36AB" w:rsidRDefault="0055641C" w:rsidP="0055641C">
      <w:r>
        <w:t>T</w:t>
      </w:r>
      <w:r>
        <w:t>he role of the business community in the rise of neoliberalism in post-war Britain has often been understated in</w:t>
      </w:r>
      <w:r w:rsidR="00D14A48">
        <w:t xml:space="preserve"> the</w:t>
      </w:r>
      <w:r>
        <w:t xml:space="preserve"> histori</w:t>
      </w:r>
      <w:r w:rsidR="00D14A48">
        <w:t>ography of the period</w:t>
      </w:r>
      <w:r>
        <w:t xml:space="preserve">, yet the evidence presented here demonstrates its importance. The </w:t>
      </w:r>
      <w:proofErr w:type="spellStart"/>
      <w:r>
        <w:t>IoD</w:t>
      </w:r>
      <w:proofErr w:type="spellEnd"/>
      <w:r>
        <w:t xml:space="preserve">, under Edward Spears, played a </w:t>
      </w:r>
      <w:r>
        <w:t>key</w:t>
      </w:r>
      <w:r>
        <w:t xml:space="preserve"> role in </w:t>
      </w:r>
      <w:r>
        <w:t xml:space="preserve">creating </w:t>
      </w:r>
      <w:r>
        <w:t xml:space="preserve">a network of business figures committed to opposing post-war social democracy and advancing neoliberal ideas. </w:t>
      </w:r>
      <w:r w:rsidR="001E6D71">
        <w:t xml:space="preserve">This network was essential for the rise of neoliberalism. </w:t>
      </w:r>
      <w:r w:rsidR="008301F7">
        <w:t>T</w:t>
      </w:r>
      <w:r>
        <w:t xml:space="preserve">he </w:t>
      </w:r>
      <w:proofErr w:type="spellStart"/>
      <w:r>
        <w:t>IoD</w:t>
      </w:r>
      <w:proofErr w:type="spellEnd"/>
      <w:r>
        <w:t xml:space="preserve"> laid </w:t>
      </w:r>
      <w:r>
        <w:t>the</w:t>
      </w:r>
      <w:r>
        <w:t xml:space="preserve"> groundwork for later successes in promoting</w:t>
      </w:r>
      <w:r w:rsidR="003A0747">
        <w:t xml:space="preserve"> neoliberalism by creating a network of potential donors </w:t>
      </w:r>
      <w:r w:rsidR="008301F7">
        <w:t>for the cause and mobilising this network to experiment with different methods of advocacy that</w:t>
      </w:r>
      <w:r w:rsidR="003A0747">
        <w:t xml:space="preserve"> shap</w:t>
      </w:r>
      <w:r w:rsidR="008301F7">
        <w:t>ed the development of successive institutions such as the IEA and IPG</w:t>
      </w:r>
      <w:r>
        <w:t xml:space="preserve">. Ultimately, the </w:t>
      </w:r>
      <w:proofErr w:type="spellStart"/>
      <w:r>
        <w:t>IoD</w:t>
      </w:r>
      <w:proofErr w:type="spellEnd"/>
      <w:r>
        <w:t xml:space="preserve"> functioned as a catalyst for a broader and more co</w:t>
      </w:r>
      <w:r w:rsidR="004D380F">
        <w:t>-</w:t>
      </w:r>
      <w:r>
        <w:t>ordinated business</w:t>
      </w:r>
      <w:r w:rsidR="000B2B4A">
        <w:t xml:space="preserve"> </w:t>
      </w:r>
      <w:r>
        <w:t xml:space="preserve">led opposition to the Keynesian </w:t>
      </w:r>
      <w:r w:rsidR="008301F7">
        <w:t>economic paradigm</w:t>
      </w:r>
      <w:r>
        <w:t>. This paper th</w:t>
      </w:r>
      <w:r w:rsidR="007417E5">
        <w:t>erefore</w:t>
      </w:r>
      <w:r>
        <w:t xml:space="preserve"> highlights the importance of examining not </w:t>
      </w:r>
      <w:r w:rsidR="00092F3E">
        <w:t>just</w:t>
      </w:r>
      <w:r>
        <w:t xml:space="preserve"> intellectuals and think tanks</w:t>
      </w:r>
      <w:r w:rsidR="00092F3E">
        <w:t>,</w:t>
      </w:r>
      <w:r>
        <w:t xml:space="preserve"> but also the </w:t>
      </w:r>
      <w:r w:rsidR="00727642">
        <w:t xml:space="preserve">much more committed and </w:t>
      </w:r>
      <w:r w:rsidR="000B2B4A">
        <w:t>organised</w:t>
      </w:r>
      <w:r w:rsidR="00727642">
        <w:t xml:space="preserve"> efforts </w:t>
      </w:r>
      <w:r w:rsidR="008301F7">
        <w:t xml:space="preserve">of the business community </w:t>
      </w:r>
      <w:r>
        <w:t>that enabled neoliberalism’s rise, offering a more comprehensive understanding of its development in Britain.</w:t>
      </w:r>
    </w:p>
    <w:p w14:paraId="5854ED4A" w14:textId="4D202465" w:rsidR="003F12AA" w:rsidRDefault="003F12AA" w:rsidP="00B11E28"/>
    <w:p w14:paraId="652121D6" w14:textId="1A697E7B" w:rsidR="003F12AA" w:rsidRDefault="003F12AA" w:rsidP="00B11E28"/>
    <w:p w14:paraId="72C58A4E" w14:textId="7CEF32BF" w:rsidR="004D1A1D" w:rsidRDefault="004D1A1D" w:rsidP="004571DB"/>
    <w:p w14:paraId="7F7AC64A" w14:textId="2415FD4B" w:rsidR="008D3F91" w:rsidRDefault="008D3F91" w:rsidP="004571DB"/>
    <w:p w14:paraId="7AA2FC30" w14:textId="77777777" w:rsidR="008D3F91" w:rsidRDefault="008D3F91" w:rsidP="004571DB"/>
    <w:sectPr w:rsidR="008D3F91" w:rsidSect="007631A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C294" w14:textId="77777777" w:rsidR="00A5235D" w:rsidRDefault="00A5235D" w:rsidP="004571DB">
      <w:r>
        <w:separator/>
      </w:r>
    </w:p>
  </w:endnote>
  <w:endnote w:type="continuationSeparator" w:id="0">
    <w:p w14:paraId="72BF2B4E" w14:textId="77777777" w:rsidR="00A5235D" w:rsidRDefault="00A5235D" w:rsidP="0045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F40C" w14:textId="77777777" w:rsidR="00A5235D" w:rsidRDefault="00A5235D" w:rsidP="004571DB">
      <w:r>
        <w:separator/>
      </w:r>
    </w:p>
  </w:footnote>
  <w:footnote w:type="continuationSeparator" w:id="0">
    <w:p w14:paraId="3CDF065A" w14:textId="77777777" w:rsidR="00A5235D" w:rsidRDefault="00A5235D" w:rsidP="004571DB">
      <w:r>
        <w:continuationSeparator/>
      </w:r>
    </w:p>
  </w:footnote>
  <w:footnote w:id="1">
    <w:p w14:paraId="2A39998E" w14:textId="29E5D43A" w:rsidR="00B5775A" w:rsidRDefault="00B5775A" w:rsidP="00102784">
      <w:pPr>
        <w:pStyle w:val="FootnoteText"/>
      </w:pPr>
      <w:r>
        <w:rPr>
          <w:rStyle w:val="FootnoteReference"/>
        </w:rPr>
        <w:footnoteRef/>
      </w:r>
      <w:r>
        <w:t xml:space="preserve"> </w:t>
      </w:r>
      <w:r w:rsidR="00102784" w:rsidRPr="00102784">
        <w:rPr>
          <w:i/>
          <w:iCs/>
        </w:rPr>
        <w:t>The Neoliberal Age? Britain Since the 1970s</w:t>
      </w:r>
      <w:r w:rsidR="00102784">
        <w:t xml:space="preserve">, edited by Aled Davis, Ben Jackson and Florence </w:t>
      </w:r>
      <w:r w:rsidR="00D87790">
        <w:t>Sutcliffe</w:t>
      </w:r>
      <w:r w:rsidR="00102784">
        <w:t>-Braithwaite (</w:t>
      </w:r>
      <w:r w:rsidR="00D87790">
        <w:t>London: UCL Press, 2021</w:t>
      </w:r>
      <w:r w:rsidR="00102784">
        <w:t>)</w:t>
      </w:r>
    </w:p>
  </w:footnote>
  <w:footnote w:id="2">
    <w:p w14:paraId="3DF101E8" w14:textId="32B2C851" w:rsidR="004571DB" w:rsidRDefault="004571DB" w:rsidP="004571DB">
      <w:pPr>
        <w:pStyle w:val="FootnoteText"/>
      </w:pPr>
      <w:r>
        <w:rPr>
          <w:rStyle w:val="FootnoteReference"/>
        </w:rPr>
        <w:footnoteRef/>
      </w:r>
      <w:r>
        <w:t xml:space="preserve"> </w:t>
      </w:r>
      <w:r w:rsidRPr="00F675C0">
        <w:t xml:space="preserve">David Harvey, </w:t>
      </w:r>
      <w:r w:rsidRPr="00F675C0">
        <w:rPr>
          <w:i/>
          <w:iCs/>
        </w:rPr>
        <w:t>A Brief Introduction to Neoliberalism</w:t>
      </w:r>
      <w:r w:rsidRPr="00F675C0">
        <w:t xml:space="preserve"> (Oxford</w:t>
      </w:r>
      <w:r w:rsidR="00D87790">
        <w:t>:</w:t>
      </w:r>
      <w:r w:rsidRPr="00F675C0">
        <w:t xml:space="preserve"> Oxford University Press, 2007) </w:t>
      </w:r>
      <w:r>
        <w:t>pp.</w:t>
      </w:r>
      <w:r w:rsidRPr="00F675C0">
        <w:t>67-8</w:t>
      </w:r>
    </w:p>
  </w:footnote>
  <w:footnote w:id="3">
    <w:p w14:paraId="61E2FCC4" w14:textId="77777777" w:rsidR="004571DB" w:rsidRPr="00F675C0" w:rsidRDefault="004571DB" w:rsidP="004571DB">
      <w:pPr>
        <w:pStyle w:val="FootnoteText"/>
      </w:pPr>
      <w:r>
        <w:rPr>
          <w:rStyle w:val="FootnoteReference"/>
        </w:rPr>
        <w:footnoteRef/>
      </w:r>
      <w:r>
        <w:t xml:space="preserve"> </w:t>
      </w:r>
      <w:r w:rsidRPr="00F675C0">
        <w:t xml:space="preserve">Ewen Green, </w:t>
      </w:r>
      <w:r w:rsidRPr="00F675C0">
        <w:rPr>
          <w:i/>
          <w:iCs/>
        </w:rPr>
        <w:t>Ideologies of Conservatism: Conservative Political Ideas in the Twentieth Century</w:t>
      </w:r>
      <w:r w:rsidRPr="00F675C0">
        <w:t xml:space="preserve"> (Oxford, Oxford University Press, 2002) </w:t>
      </w:r>
      <w:r>
        <w:t>pp.</w:t>
      </w:r>
      <w:r w:rsidRPr="00F675C0">
        <w:t>214-239.</w:t>
      </w:r>
    </w:p>
  </w:footnote>
  <w:footnote w:id="4">
    <w:p w14:paraId="5C07E316" w14:textId="77777777" w:rsidR="004571DB" w:rsidRPr="00F675C0" w:rsidRDefault="004571DB" w:rsidP="004571DB">
      <w:pPr>
        <w:pStyle w:val="FootnoteText"/>
      </w:pPr>
      <w:r w:rsidRPr="00F675C0">
        <w:rPr>
          <w:rStyle w:val="FootnoteReference"/>
        </w:rPr>
        <w:footnoteRef/>
      </w:r>
      <w:r w:rsidRPr="00F675C0">
        <w:t xml:space="preserve"> </w:t>
      </w:r>
      <w:r w:rsidRPr="00242190">
        <w:t xml:space="preserve">Emily Robinson, Camilla Schofield, Florence Sutcliffe-Braithwaite, Natalie Thomlinson, </w:t>
      </w:r>
      <w:r>
        <w:t>‘</w:t>
      </w:r>
      <w:r w:rsidRPr="00D2799D">
        <w:t>Telling Stories about Post-war Britain: Popular Individualism and the ‘Crisis’ of the 1970s</w:t>
      </w:r>
      <w:r>
        <w:t>’,</w:t>
      </w:r>
      <w:r w:rsidRPr="00242190">
        <w:t xml:space="preserve"> </w:t>
      </w:r>
      <w:r w:rsidRPr="00D2799D">
        <w:rPr>
          <w:i/>
        </w:rPr>
        <w:t>Twentieth Century British History</w:t>
      </w:r>
      <w:r>
        <w:t>, 28 (2017) pp.268–304.</w:t>
      </w:r>
    </w:p>
  </w:footnote>
  <w:footnote w:id="5">
    <w:p w14:paraId="359FB4CF" w14:textId="77777777" w:rsidR="004571DB" w:rsidRPr="00F675C0" w:rsidRDefault="004571DB" w:rsidP="004571DB">
      <w:pPr>
        <w:pStyle w:val="FootnoteText"/>
      </w:pPr>
      <w:r w:rsidRPr="00F675C0">
        <w:rPr>
          <w:rStyle w:val="FootnoteReference"/>
        </w:rPr>
        <w:footnoteRef/>
      </w:r>
      <w:r w:rsidRPr="00F675C0">
        <w:t xml:space="preserve"> Richard Crockett, </w:t>
      </w:r>
      <w:r w:rsidRPr="00F675C0">
        <w:rPr>
          <w:i/>
        </w:rPr>
        <w:t>Thinking the Unthinkable, Think Tanks and the Economic Counter Revolution 1931-1983</w:t>
      </w:r>
      <w:r w:rsidRPr="00F675C0">
        <w:t xml:space="preserve"> (London: Harper Collins, 1994)</w:t>
      </w:r>
    </w:p>
  </w:footnote>
  <w:footnote w:id="6">
    <w:p w14:paraId="4AE83FAB" w14:textId="77777777" w:rsidR="004571DB" w:rsidRPr="00F675C0" w:rsidRDefault="004571DB" w:rsidP="004571DB">
      <w:pPr>
        <w:pStyle w:val="FootnoteText"/>
      </w:pPr>
      <w:r w:rsidRPr="00F675C0">
        <w:rPr>
          <w:rStyle w:val="FootnoteReference"/>
        </w:rPr>
        <w:footnoteRef/>
      </w:r>
      <w:r w:rsidRPr="00F675C0">
        <w:t xml:space="preserve"> Ben Jackson, ‘The Think-Tank Archipelago: Thatcherism and Neo-Liberalism’ In </w:t>
      </w:r>
      <w:r w:rsidRPr="00F675C0">
        <w:rPr>
          <w:i/>
        </w:rPr>
        <w:t>Making Thatcher’s Britain</w:t>
      </w:r>
      <w:r w:rsidRPr="00F675C0">
        <w:t>, edited by Ben Jackson and Robert Saunders (Cambridge: Cambridge University Press, 2012) pp.43–61 (p.47)</w:t>
      </w:r>
    </w:p>
  </w:footnote>
  <w:footnote w:id="7">
    <w:p w14:paraId="4ADF4E20" w14:textId="77777777" w:rsidR="004571DB" w:rsidRDefault="004571DB" w:rsidP="004571DB">
      <w:pPr>
        <w:pStyle w:val="FootnoteText"/>
      </w:pPr>
      <w:r w:rsidRPr="00F675C0">
        <w:rPr>
          <w:rStyle w:val="FootnoteReference"/>
        </w:rPr>
        <w:footnoteRef/>
      </w:r>
      <w:r w:rsidRPr="00F675C0">
        <w:t xml:space="preserve"> Neil Rollings, ‘Cracks in the Post-War Keynesian Settlement? The Role of Organised Business in Britain in the Rise of Neoliberalism Before Margaret Thatcher’, </w:t>
      </w:r>
      <w:r w:rsidRPr="00F675C0">
        <w:rPr>
          <w:i/>
        </w:rPr>
        <w:t>Twentieth Century British History</w:t>
      </w:r>
      <w:r w:rsidRPr="00F675C0">
        <w:t>, 24 (2013) pp.637–659.</w:t>
      </w:r>
    </w:p>
  </w:footnote>
  <w:footnote w:id="8">
    <w:p w14:paraId="73C4F4A5" w14:textId="77777777" w:rsidR="004571DB" w:rsidRDefault="004571DB" w:rsidP="004571DB">
      <w:pPr>
        <w:pStyle w:val="FootnoteText"/>
      </w:pPr>
      <w:r w:rsidRPr="00360199">
        <w:rPr>
          <w:rStyle w:val="FootnoteReference"/>
        </w:rPr>
        <w:footnoteRef/>
      </w:r>
      <w:r w:rsidRPr="00360199">
        <w:t xml:space="preserve"> Damien Cahill and Martin </w:t>
      </w:r>
      <w:proofErr w:type="spellStart"/>
      <w:r w:rsidRPr="00360199">
        <w:t>Konings</w:t>
      </w:r>
      <w:proofErr w:type="spellEnd"/>
      <w:r w:rsidRPr="00360199">
        <w:t xml:space="preserve">, </w:t>
      </w:r>
      <w:r w:rsidRPr="00360199">
        <w:rPr>
          <w:i/>
          <w:iCs/>
        </w:rPr>
        <w:t>Neoliberalism, Key Concepts Series</w:t>
      </w:r>
      <w:r w:rsidRPr="00360199">
        <w:t xml:space="preserve"> (Cambridge: Polity Press, 2017) pp.5-6</w:t>
      </w:r>
    </w:p>
  </w:footnote>
  <w:footnote w:id="9">
    <w:p w14:paraId="65EA41AB" w14:textId="76B122C5" w:rsidR="004571DB" w:rsidRPr="00360199" w:rsidRDefault="004571DB" w:rsidP="004571DB">
      <w:pPr>
        <w:pStyle w:val="FootnoteText"/>
      </w:pPr>
      <w:r w:rsidRPr="00360199">
        <w:rPr>
          <w:rStyle w:val="FootnoteReference"/>
        </w:rPr>
        <w:footnoteRef/>
      </w:r>
      <w:r w:rsidRPr="00360199">
        <w:t xml:space="preserve"> Phillip </w:t>
      </w:r>
      <w:proofErr w:type="spellStart"/>
      <w:r w:rsidRPr="00360199">
        <w:t>Mirowski</w:t>
      </w:r>
      <w:proofErr w:type="spellEnd"/>
      <w:r w:rsidRPr="00360199">
        <w:t xml:space="preserve"> and Dieter </w:t>
      </w:r>
      <w:proofErr w:type="spellStart"/>
      <w:r w:rsidRPr="00360199">
        <w:t>Plehwe</w:t>
      </w:r>
      <w:proofErr w:type="spellEnd"/>
      <w:r w:rsidRPr="00360199">
        <w:t xml:space="preserve"> </w:t>
      </w:r>
      <w:r w:rsidR="000D261C">
        <w:t>‘</w:t>
      </w:r>
      <w:r w:rsidRPr="00360199">
        <w:t>Introduction</w:t>
      </w:r>
      <w:r w:rsidR="000D261C">
        <w:t>’</w:t>
      </w:r>
      <w:r w:rsidRPr="00360199">
        <w:t xml:space="preserve"> in, The Road from Mont </w:t>
      </w:r>
      <w:proofErr w:type="spellStart"/>
      <w:r w:rsidRPr="00360199">
        <w:t>Pelerin</w:t>
      </w:r>
      <w:proofErr w:type="spellEnd"/>
      <w:r w:rsidRPr="00360199">
        <w:t xml:space="preserve">: The Making of the Neoliberal Thought Collective, edited by Phillip </w:t>
      </w:r>
      <w:proofErr w:type="spellStart"/>
      <w:r w:rsidRPr="00360199">
        <w:t>Mirowski</w:t>
      </w:r>
      <w:proofErr w:type="spellEnd"/>
      <w:r w:rsidRPr="00360199">
        <w:t xml:space="preserve"> and Dieter </w:t>
      </w:r>
      <w:proofErr w:type="spellStart"/>
      <w:r w:rsidRPr="00360199">
        <w:t>Plehwe</w:t>
      </w:r>
      <w:proofErr w:type="spellEnd"/>
      <w:r w:rsidRPr="00360199">
        <w:t xml:space="preserve"> (Massachusetts: Harvard University Press, 2009) pp.1-44 (pp.4-5)</w:t>
      </w:r>
    </w:p>
  </w:footnote>
  <w:footnote w:id="10">
    <w:p w14:paraId="66E63454" w14:textId="77777777" w:rsidR="004571DB" w:rsidRPr="00360199" w:rsidRDefault="004571DB" w:rsidP="004571DB">
      <w:pPr>
        <w:pStyle w:val="FootnoteText"/>
      </w:pPr>
      <w:r w:rsidRPr="00360199">
        <w:rPr>
          <w:rStyle w:val="FootnoteReference"/>
        </w:rPr>
        <w:footnoteRef/>
      </w:r>
      <w:r w:rsidRPr="00360199">
        <w:t xml:space="preserve"> Rollings</w:t>
      </w:r>
      <w:r>
        <w:t xml:space="preserve"> </w:t>
      </w:r>
      <w:r w:rsidRPr="00360199">
        <w:t>(2013) p.642</w:t>
      </w:r>
    </w:p>
  </w:footnote>
  <w:footnote w:id="11">
    <w:p w14:paraId="28727A58" w14:textId="77777777" w:rsidR="004571DB" w:rsidRPr="00360199" w:rsidRDefault="004571DB" w:rsidP="004571DB">
      <w:pPr>
        <w:pStyle w:val="FootnoteText"/>
      </w:pPr>
      <w:r w:rsidRPr="00360199">
        <w:rPr>
          <w:rStyle w:val="FootnoteReference"/>
        </w:rPr>
        <w:footnoteRef/>
      </w:r>
      <w:r w:rsidRPr="00360199">
        <w:t xml:space="preserve"> Jamie Peck, </w:t>
      </w:r>
      <w:r w:rsidRPr="00360199">
        <w:rPr>
          <w:i/>
          <w:iCs/>
        </w:rPr>
        <w:t>Constructions of Neoliberal Reason</w:t>
      </w:r>
      <w:r w:rsidRPr="00360199">
        <w:t xml:space="preserve"> (Oxford: Oxford University Press, 2010) p.42</w:t>
      </w:r>
    </w:p>
  </w:footnote>
  <w:footnote w:id="12">
    <w:p w14:paraId="4ACC5729" w14:textId="77777777" w:rsidR="004571DB" w:rsidRDefault="004571DB" w:rsidP="004571DB">
      <w:pPr>
        <w:pStyle w:val="FootnoteText"/>
      </w:pPr>
      <w:r>
        <w:rPr>
          <w:rStyle w:val="FootnoteReference"/>
        </w:rPr>
        <w:footnoteRef/>
      </w:r>
      <w:r>
        <w:t xml:space="preserve"> </w:t>
      </w:r>
      <w:r w:rsidRPr="00B50EB4">
        <w:t>Letter from Norman Kipping to Spears, 26th July 1951, Edward Spears Papers 3/2/14 (Churchill Archives: Cambridge)</w:t>
      </w:r>
      <w:r>
        <w:t>; Rollings (2013)</w:t>
      </w:r>
    </w:p>
  </w:footnote>
  <w:footnote w:id="13">
    <w:p w14:paraId="1C38ADE4" w14:textId="77777777" w:rsidR="004571DB" w:rsidRPr="00996DE2" w:rsidRDefault="004571DB" w:rsidP="004571DB">
      <w:pPr>
        <w:pStyle w:val="FootnoteText"/>
      </w:pPr>
      <w:r w:rsidRPr="00996DE2">
        <w:rPr>
          <w:rStyle w:val="FootnoteReference"/>
        </w:rPr>
        <w:footnoteRef/>
      </w:r>
      <w:r w:rsidRPr="00996DE2">
        <w:t xml:space="preserve"> Leonard David </w:t>
      </w:r>
      <w:proofErr w:type="spellStart"/>
      <w:r w:rsidRPr="00996DE2">
        <w:t>Gammans</w:t>
      </w:r>
      <w:proofErr w:type="spellEnd"/>
      <w:r w:rsidRPr="00996DE2">
        <w:t xml:space="preserve">, ‘Does Industry Lack Courage?’ </w:t>
      </w:r>
      <w:r w:rsidRPr="00996DE2">
        <w:rPr>
          <w:i/>
        </w:rPr>
        <w:t>Financial Times</w:t>
      </w:r>
      <w:r w:rsidRPr="00996DE2">
        <w:t>, 15th November 1950. p.4</w:t>
      </w:r>
    </w:p>
  </w:footnote>
  <w:footnote w:id="14">
    <w:p w14:paraId="4573D02E" w14:textId="77777777" w:rsidR="004571DB" w:rsidRPr="004D7AE5" w:rsidRDefault="004571DB" w:rsidP="004571DB">
      <w:pPr>
        <w:pStyle w:val="FootnoteText"/>
      </w:pPr>
      <w:r w:rsidRPr="004D7AE5">
        <w:rPr>
          <w:rStyle w:val="FootnoteReference"/>
        </w:rPr>
        <w:footnoteRef/>
      </w:r>
      <w:r w:rsidRPr="004D7AE5">
        <w:t xml:space="preserve"> </w:t>
      </w:r>
      <w:r>
        <w:t xml:space="preserve">Edward Spears, The Success of the </w:t>
      </w:r>
      <w:proofErr w:type="spellStart"/>
      <w:r>
        <w:t>IoD</w:t>
      </w:r>
      <w:proofErr w:type="spellEnd"/>
      <w:r>
        <w:t xml:space="preserve">, 1953 </w:t>
      </w:r>
      <w:r w:rsidRPr="00B50EB4">
        <w:t xml:space="preserve">Edward Spears Papers </w:t>
      </w:r>
      <w:r>
        <w:t>7</w:t>
      </w:r>
      <w:r w:rsidRPr="00B50EB4">
        <w:t>/</w:t>
      </w:r>
      <w:r>
        <w:t>20</w:t>
      </w:r>
      <w:r w:rsidRPr="00B50EB4">
        <w:t>. (Churchill Archives: Cambridge)</w:t>
      </w:r>
    </w:p>
  </w:footnote>
  <w:footnote w:id="15">
    <w:p w14:paraId="07065213" w14:textId="77777777" w:rsidR="004571DB" w:rsidRPr="00B50EB4" w:rsidRDefault="004571DB" w:rsidP="004571DB">
      <w:pPr>
        <w:pStyle w:val="FootnoteText"/>
      </w:pPr>
      <w:r w:rsidRPr="00B50EB4">
        <w:rPr>
          <w:rStyle w:val="FootnoteReference"/>
        </w:rPr>
        <w:footnoteRef/>
      </w:r>
      <w:r w:rsidRPr="00B50EB4">
        <w:t xml:space="preserve"> Edward Spears, The Institute of Directors, the Stock Exchange Gazette, 5th January 1951, Edward Spears Papers SPRS 3/2/19 (Cambridge: Churchill Archives)</w:t>
      </w:r>
    </w:p>
  </w:footnote>
  <w:footnote w:id="16">
    <w:p w14:paraId="188762D2" w14:textId="77777777" w:rsidR="004571DB" w:rsidRDefault="004571DB" w:rsidP="004571DB">
      <w:pPr>
        <w:pStyle w:val="FootnoteText"/>
      </w:pPr>
      <w:r>
        <w:rPr>
          <w:rStyle w:val="FootnoteReference"/>
        </w:rPr>
        <w:footnoteRef/>
      </w:r>
      <w:r>
        <w:t xml:space="preserve"> Ibid</w:t>
      </w:r>
    </w:p>
  </w:footnote>
  <w:footnote w:id="17">
    <w:p w14:paraId="1CE6C372" w14:textId="77777777" w:rsidR="004571DB" w:rsidRPr="00F341BD" w:rsidRDefault="004571DB" w:rsidP="004571DB">
      <w:pPr>
        <w:pStyle w:val="FootnoteText"/>
      </w:pPr>
      <w:r w:rsidRPr="00F341BD">
        <w:rPr>
          <w:rStyle w:val="FootnoteReference"/>
        </w:rPr>
        <w:footnoteRef/>
      </w:r>
      <w:r w:rsidRPr="00F341BD">
        <w:t xml:space="preserve"> Report of the Membership Committee for 1951, 31st December 1951, Edward Spears Papers SPRS 3/2/14 (Churchill Archives: Cambridge)</w:t>
      </w:r>
    </w:p>
  </w:footnote>
  <w:footnote w:id="18">
    <w:p w14:paraId="5BE4A5E2" w14:textId="77777777" w:rsidR="004571DB" w:rsidRDefault="004571DB">
      <w:pPr>
        <w:pStyle w:val="FootnoteText"/>
      </w:pPr>
      <w:r>
        <w:rPr>
          <w:rStyle w:val="FootnoteReference"/>
        </w:rPr>
        <w:footnoteRef/>
      </w:r>
      <w:r>
        <w:t xml:space="preserve"> </w:t>
      </w:r>
      <w:r w:rsidRPr="00550390">
        <w:rPr>
          <w:rFonts w:cstheme="minorHAnsi"/>
        </w:rPr>
        <w:t>IOD, ‘Minutes of the Policy Committee’, 8th December 1950, Edward Spears Papers SPRS 3/2/11 (Churchill Archives: Cambridge) p.2</w:t>
      </w:r>
    </w:p>
  </w:footnote>
  <w:footnote w:id="19">
    <w:p w14:paraId="16C78B44" w14:textId="0744C44D" w:rsidR="00BB6801" w:rsidRDefault="00BB6801">
      <w:pPr>
        <w:pStyle w:val="FootnoteText"/>
      </w:pPr>
      <w:r>
        <w:rPr>
          <w:rStyle w:val="FootnoteReference"/>
        </w:rPr>
        <w:footnoteRef/>
      </w:r>
      <w:r>
        <w:t xml:space="preserve"> </w:t>
      </w:r>
      <w:r w:rsidR="00D06485" w:rsidRPr="00550390">
        <w:rPr>
          <w:rFonts w:cstheme="minorHAnsi"/>
        </w:rPr>
        <w:t>Data Compiled from Incomplete Receipts of Donations to the Free Enterprise Campaign</w:t>
      </w:r>
      <w:r w:rsidR="00D06485">
        <w:rPr>
          <w:rFonts w:cstheme="minorHAnsi"/>
        </w:rPr>
        <w:t>,</w:t>
      </w:r>
      <w:r w:rsidR="00D06485" w:rsidRPr="00550390">
        <w:rPr>
          <w:rFonts w:cstheme="minorHAnsi"/>
        </w:rPr>
        <w:t xml:space="preserve"> Edward Spears Papers 3/2/17, 19, 30, 34 (Churchill Archives: Cambridge)</w:t>
      </w:r>
    </w:p>
  </w:footnote>
  <w:footnote w:id="20">
    <w:p w14:paraId="6DBCB527" w14:textId="77777777" w:rsidR="004571DB" w:rsidRPr="00550390" w:rsidRDefault="004571DB" w:rsidP="004571DB">
      <w:pPr>
        <w:pStyle w:val="FootnoteText"/>
        <w:rPr>
          <w:rFonts w:cstheme="minorHAnsi"/>
        </w:rPr>
      </w:pPr>
      <w:r w:rsidRPr="00550390">
        <w:rPr>
          <w:rStyle w:val="FootnoteReference"/>
          <w:rFonts w:cstheme="minorHAnsi"/>
        </w:rPr>
        <w:footnoteRef/>
      </w:r>
      <w:r w:rsidRPr="00550390">
        <w:rPr>
          <w:rFonts w:cstheme="minorHAnsi"/>
        </w:rPr>
        <w:t xml:space="preserve"> IOD, ‘Bob Took His Chance’ 1953, Advertisement Poster, Edward Spears Papers 3/2/17 (Churchill Archives: Cambridge)</w:t>
      </w:r>
    </w:p>
  </w:footnote>
  <w:footnote w:id="21">
    <w:p w14:paraId="7B7E8224" w14:textId="77777777" w:rsidR="004571DB" w:rsidRPr="00550390" w:rsidRDefault="004571DB" w:rsidP="004571DB">
      <w:pPr>
        <w:pStyle w:val="FootnoteText"/>
        <w:rPr>
          <w:rFonts w:cstheme="minorHAnsi"/>
        </w:rPr>
      </w:pPr>
      <w:r w:rsidRPr="00550390">
        <w:rPr>
          <w:rStyle w:val="FootnoteReference"/>
          <w:rFonts w:cstheme="minorHAnsi"/>
        </w:rPr>
        <w:footnoteRef/>
      </w:r>
      <w:r w:rsidRPr="00550390">
        <w:rPr>
          <w:rFonts w:cstheme="minorHAnsi"/>
        </w:rPr>
        <w:t xml:space="preserve"> IOD, ‘Declaration by the IOD’ c.1951, Edward Spears Papers 3/2/30 (Churchill Archives: Cambridge) p.2</w:t>
      </w:r>
    </w:p>
  </w:footnote>
  <w:footnote w:id="22">
    <w:p w14:paraId="3F538B5A" w14:textId="77777777" w:rsidR="004571DB" w:rsidRPr="00550390" w:rsidRDefault="004571DB" w:rsidP="004571DB">
      <w:pPr>
        <w:pStyle w:val="FootnoteText"/>
        <w:rPr>
          <w:rFonts w:cstheme="minorHAnsi"/>
        </w:rPr>
      </w:pPr>
      <w:r w:rsidRPr="00550390">
        <w:rPr>
          <w:rStyle w:val="FootnoteReference"/>
          <w:rFonts w:cstheme="minorHAnsi"/>
        </w:rPr>
        <w:footnoteRef/>
      </w:r>
      <w:r w:rsidRPr="00550390">
        <w:rPr>
          <w:rFonts w:cstheme="minorHAnsi"/>
        </w:rPr>
        <w:t xml:space="preserve"> IOD, ‘Free Enterprise Campaign Prospectus’ 1951, Edward Spears Papers 3/2/17 (Churchill Archives: Cambridge); Free Enterprise Campaign, November 1952 Edward Spears Papers SPRS 3/2/26 (Churchill Archives: Cambridge) p.2 </w:t>
      </w:r>
    </w:p>
  </w:footnote>
  <w:footnote w:id="23">
    <w:p w14:paraId="0315C14F" w14:textId="77777777" w:rsidR="004571DB" w:rsidRPr="00550390" w:rsidRDefault="004571DB" w:rsidP="004571DB">
      <w:pPr>
        <w:pStyle w:val="FootnoteText"/>
        <w:rPr>
          <w:rFonts w:cstheme="minorHAnsi"/>
        </w:rPr>
      </w:pPr>
      <w:r w:rsidRPr="00550390">
        <w:rPr>
          <w:rStyle w:val="FootnoteReference"/>
          <w:rFonts w:cstheme="minorHAnsi"/>
        </w:rPr>
        <w:footnoteRef/>
      </w:r>
      <w:r w:rsidRPr="00550390">
        <w:rPr>
          <w:rFonts w:cstheme="minorHAnsi"/>
        </w:rPr>
        <w:t xml:space="preserve"> IOD, ‘Minutes of Policy Committee’ 17th December 1951, Edward Spears Papers 3/2/19 (Churchill Archives: Cambridge)</w:t>
      </w:r>
    </w:p>
  </w:footnote>
  <w:footnote w:id="24">
    <w:p w14:paraId="57DA2E34" w14:textId="77777777" w:rsidR="0029048F" w:rsidRDefault="0029048F" w:rsidP="0029048F">
      <w:pPr>
        <w:pStyle w:val="FootnoteText"/>
      </w:pPr>
      <w:r>
        <w:rPr>
          <w:rStyle w:val="FootnoteReference"/>
        </w:rPr>
        <w:footnoteRef/>
      </w:r>
      <w:r>
        <w:t xml:space="preserve"> </w:t>
      </w:r>
      <w:r w:rsidRPr="00550390">
        <w:rPr>
          <w:rFonts w:cstheme="minorHAnsi"/>
        </w:rPr>
        <w:t>IOD, ‘Bob Took His Chance’ 1953, Advertisement Poster, Edward Spears Papers 3/2/17 (Churchill Archives: Cambridge)</w:t>
      </w:r>
    </w:p>
  </w:footnote>
  <w:footnote w:id="25">
    <w:p w14:paraId="204D5FE9" w14:textId="77777777" w:rsidR="0029048F" w:rsidRDefault="0029048F" w:rsidP="0029048F">
      <w:pPr>
        <w:pStyle w:val="FootnoteText"/>
      </w:pPr>
      <w:r>
        <w:rPr>
          <w:rStyle w:val="FootnoteReference"/>
        </w:rPr>
        <w:footnoteRef/>
      </w:r>
      <w:r>
        <w:t xml:space="preserve"> </w:t>
      </w:r>
      <w:r w:rsidRPr="00550390">
        <w:rPr>
          <w:rFonts w:cstheme="minorHAnsi"/>
        </w:rPr>
        <w:t xml:space="preserve">IOD, </w:t>
      </w:r>
      <w:r>
        <w:rPr>
          <w:rFonts w:cstheme="minorHAnsi"/>
        </w:rPr>
        <w:t>‘</w:t>
      </w:r>
      <w:r>
        <w:t>Britain was First with… Thanks to Free Enterprise’</w:t>
      </w:r>
      <w:r w:rsidRPr="00550390">
        <w:rPr>
          <w:rFonts w:cstheme="minorHAnsi"/>
        </w:rPr>
        <w:t xml:space="preserve"> Advertisement Poster,</w:t>
      </w:r>
      <w:r>
        <w:rPr>
          <w:rFonts w:cstheme="minorHAnsi"/>
        </w:rPr>
        <w:t xml:space="preserve"> </w:t>
      </w:r>
      <w:r w:rsidRPr="00550390">
        <w:rPr>
          <w:rFonts w:cstheme="minorHAnsi"/>
        </w:rPr>
        <w:t>1953, Edward Spears Papers 3/2/17 (Churchill Archives: Cambridge)</w:t>
      </w:r>
    </w:p>
  </w:footnote>
  <w:footnote w:id="26">
    <w:p w14:paraId="7D60256F" w14:textId="2D6E3BD2" w:rsidR="00F71E0E" w:rsidRDefault="00F71E0E">
      <w:pPr>
        <w:pStyle w:val="FootnoteText"/>
      </w:pPr>
      <w:r>
        <w:rPr>
          <w:rStyle w:val="FootnoteReference"/>
        </w:rPr>
        <w:footnoteRef/>
      </w:r>
      <w:r>
        <w:t xml:space="preserve"> </w:t>
      </w:r>
      <w:r w:rsidRPr="00F71E0E">
        <w:t>IEA, Minutes of the 16th Meeting of Trustees, 28th July 1976, IEA papers (California: Hoover Institute)</w:t>
      </w:r>
    </w:p>
  </w:footnote>
  <w:footnote w:id="27">
    <w:p w14:paraId="10840CB5" w14:textId="4F962093" w:rsidR="00FD1509" w:rsidRDefault="00FD1509">
      <w:pPr>
        <w:pStyle w:val="FootnoteText"/>
      </w:pPr>
      <w:r>
        <w:rPr>
          <w:rStyle w:val="FootnoteReference"/>
        </w:rPr>
        <w:footnoteRef/>
      </w:r>
      <w:r>
        <w:t xml:space="preserve"> IEA, Progress Report, 1974</w:t>
      </w:r>
      <w:r w:rsidR="00CB6041">
        <w:t xml:space="preserve">, </w:t>
      </w:r>
      <w:r w:rsidR="00CB6041" w:rsidRPr="00CB6041">
        <w:t xml:space="preserve">Box </w:t>
      </w:r>
      <w:r w:rsidR="00CB6041">
        <w:t>270</w:t>
      </w:r>
      <w:r w:rsidR="00CB6041" w:rsidRPr="00CB6041">
        <w:t xml:space="preserve">, Folder </w:t>
      </w:r>
      <w:r w:rsidR="00CB6041">
        <w:t>4</w:t>
      </w:r>
      <w:r w:rsidR="00CB6041" w:rsidRPr="00CB6041">
        <w:t>, I</w:t>
      </w:r>
      <w:r w:rsidR="00CB6041">
        <w:t xml:space="preserve">EA </w:t>
      </w:r>
      <w:r w:rsidR="00CB6041" w:rsidRPr="00CB6041">
        <w:t>Papers (Hoover Institute, California) p.</w:t>
      </w:r>
      <w:r w:rsidR="00CB6041">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F1D"/>
    <w:multiLevelType w:val="hybridMultilevel"/>
    <w:tmpl w:val="849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81306"/>
    <w:multiLevelType w:val="multilevel"/>
    <w:tmpl w:val="C1E2AD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34016D"/>
    <w:multiLevelType w:val="hybridMultilevel"/>
    <w:tmpl w:val="547A4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27C36"/>
    <w:multiLevelType w:val="hybridMultilevel"/>
    <w:tmpl w:val="7C565C2E"/>
    <w:lvl w:ilvl="0" w:tplc="F5264E5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470889">
    <w:abstractNumId w:val="1"/>
  </w:num>
  <w:num w:numId="2" w16cid:durableId="1460296650">
    <w:abstractNumId w:val="3"/>
  </w:num>
  <w:num w:numId="3" w16cid:durableId="979965598">
    <w:abstractNumId w:val="2"/>
  </w:num>
  <w:num w:numId="4" w16cid:durableId="212515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DB"/>
    <w:rsid w:val="00062987"/>
    <w:rsid w:val="00080DCA"/>
    <w:rsid w:val="00083141"/>
    <w:rsid w:val="00092F3E"/>
    <w:rsid w:val="000B2B4A"/>
    <w:rsid w:val="000B717C"/>
    <w:rsid w:val="000C0D76"/>
    <w:rsid w:val="000D261C"/>
    <w:rsid w:val="000F2BAE"/>
    <w:rsid w:val="00102784"/>
    <w:rsid w:val="00121E42"/>
    <w:rsid w:val="001358E6"/>
    <w:rsid w:val="00141A0F"/>
    <w:rsid w:val="0015263C"/>
    <w:rsid w:val="001529A6"/>
    <w:rsid w:val="001532D1"/>
    <w:rsid w:val="00163506"/>
    <w:rsid w:val="001719C7"/>
    <w:rsid w:val="00192CBE"/>
    <w:rsid w:val="001B1483"/>
    <w:rsid w:val="001C4FBF"/>
    <w:rsid w:val="001E6D71"/>
    <w:rsid w:val="001F5E90"/>
    <w:rsid w:val="002165AE"/>
    <w:rsid w:val="00242E3E"/>
    <w:rsid w:val="002468BA"/>
    <w:rsid w:val="0027033A"/>
    <w:rsid w:val="00284315"/>
    <w:rsid w:val="0029048F"/>
    <w:rsid w:val="002A30B5"/>
    <w:rsid w:val="002A774E"/>
    <w:rsid w:val="002B241F"/>
    <w:rsid w:val="002E622F"/>
    <w:rsid w:val="00305D72"/>
    <w:rsid w:val="00311AE9"/>
    <w:rsid w:val="003268C0"/>
    <w:rsid w:val="00331FB3"/>
    <w:rsid w:val="00383152"/>
    <w:rsid w:val="00392720"/>
    <w:rsid w:val="003A0747"/>
    <w:rsid w:val="003C49A2"/>
    <w:rsid w:val="003F12AA"/>
    <w:rsid w:val="003F28D2"/>
    <w:rsid w:val="00430CA7"/>
    <w:rsid w:val="0043187B"/>
    <w:rsid w:val="004571DB"/>
    <w:rsid w:val="00485CF5"/>
    <w:rsid w:val="004D0770"/>
    <w:rsid w:val="004D1A1D"/>
    <w:rsid w:val="004D2C94"/>
    <w:rsid w:val="004D380F"/>
    <w:rsid w:val="0052395B"/>
    <w:rsid w:val="00545033"/>
    <w:rsid w:val="0055641C"/>
    <w:rsid w:val="005A573E"/>
    <w:rsid w:val="005B6C06"/>
    <w:rsid w:val="005F10B8"/>
    <w:rsid w:val="00614BA6"/>
    <w:rsid w:val="00617745"/>
    <w:rsid w:val="0062316A"/>
    <w:rsid w:val="00627C1D"/>
    <w:rsid w:val="00660911"/>
    <w:rsid w:val="00660B2F"/>
    <w:rsid w:val="006750C3"/>
    <w:rsid w:val="0068622B"/>
    <w:rsid w:val="006933E8"/>
    <w:rsid w:val="006A0340"/>
    <w:rsid w:val="006A2142"/>
    <w:rsid w:val="006C366B"/>
    <w:rsid w:val="006E0066"/>
    <w:rsid w:val="00727642"/>
    <w:rsid w:val="007417E5"/>
    <w:rsid w:val="007631A7"/>
    <w:rsid w:val="008301F7"/>
    <w:rsid w:val="008335E4"/>
    <w:rsid w:val="00854B92"/>
    <w:rsid w:val="00873D81"/>
    <w:rsid w:val="0089304C"/>
    <w:rsid w:val="0089316E"/>
    <w:rsid w:val="008941FE"/>
    <w:rsid w:val="008A5461"/>
    <w:rsid w:val="008B5309"/>
    <w:rsid w:val="008B561D"/>
    <w:rsid w:val="008D3F91"/>
    <w:rsid w:val="008F09A9"/>
    <w:rsid w:val="00920438"/>
    <w:rsid w:val="00931D42"/>
    <w:rsid w:val="00970DB3"/>
    <w:rsid w:val="009E749D"/>
    <w:rsid w:val="009F48EB"/>
    <w:rsid w:val="00A35634"/>
    <w:rsid w:val="00A5235D"/>
    <w:rsid w:val="00A54D90"/>
    <w:rsid w:val="00A6131A"/>
    <w:rsid w:val="00A64835"/>
    <w:rsid w:val="00A6795E"/>
    <w:rsid w:val="00A70E0B"/>
    <w:rsid w:val="00A84AE2"/>
    <w:rsid w:val="00AB593B"/>
    <w:rsid w:val="00AD07DF"/>
    <w:rsid w:val="00AD7E58"/>
    <w:rsid w:val="00B11E28"/>
    <w:rsid w:val="00B5775A"/>
    <w:rsid w:val="00B7705A"/>
    <w:rsid w:val="00B774D9"/>
    <w:rsid w:val="00B81AF4"/>
    <w:rsid w:val="00BA0E15"/>
    <w:rsid w:val="00BB6801"/>
    <w:rsid w:val="00BD755F"/>
    <w:rsid w:val="00C20723"/>
    <w:rsid w:val="00C76D9A"/>
    <w:rsid w:val="00C90F01"/>
    <w:rsid w:val="00CB6041"/>
    <w:rsid w:val="00CB7DAC"/>
    <w:rsid w:val="00CE72A5"/>
    <w:rsid w:val="00D06485"/>
    <w:rsid w:val="00D14A48"/>
    <w:rsid w:val="00D263A5"/>
    <w:rsid w:val="00D52A86"/>
    <w:rsid w:val="00D6421A"/>
    <w:rsid w:val="00D6438D"/>
    <w:rsid w:val="00D87790"/>
    <w:rsid w:val="00D91DBB"/>
    <w:rsid w:val="00DB1397"/>
    <w:rsid w:val="00DB16D6"/>
    <w:rsid w:val="00E012A8"/>
    <w:rsid w:val="00E31464"/>
    <w:rsid w:val="00E40D5F"/>
    <w:rsid w:val="00E52AD7"/>
    <w:rsid w:val="00E73A90"/>
    <w:rsid w:val="00E8332C"/>
    <w:rsid w:val="00E86B3F"/>
    <w:rsid w:val="00EA36AB"/>
    <w:rsid w:val="00EB6CB4"/>
    <w:rsid w:val="00EC6B62"/>
    <w:rsid w:val="00ED2074"/>
    <w:rsid w:val="00EF14C8"/>
    <w:rsid w:val="00F24578"/>
    <w:rsid w:val="00F31CAE"/>
    <w:rsid w:val="00F60976"/>
    <w:rsid w:val="00F71E0E"/>
    <w:rsid w:val="00F9545C"/>
    <w:rsid w:val="00FC0AE5"/>
    <w:rsid w:val="00FD1509"/>
    <w:rsid w:val="00FE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1726"/>
  <w14:defaultImageDpi w14:val="32767"/>
  <w15:chartTrackingRefBased/>
  <w15:docId w15:val="{FB640A3D-653A-194A-B7AE-1EF02FE0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DB"/>
    <w:rPr>
      <w:color w:val="0563C1" w:themeColor="hyperlink"/>
      <w:u w:val="single"/>
    </w:rPr>
  </w:style>
  <w:style w:type="paragraph" w:styleId="ListParagraph">
    <w:name w:val="List Paragraph"/>
    <w:basedOn w:val="Normal"/>
    <w:uiPriority w:val="34"/>
    <w:qFormat/>
    <w:rsid w:val="004571DB"/>
    <w:pPr>
      <w:ind w:left="720"/>
      <w:contextualSpacing/>
    </w:pPr>
  </w:style>
  <w:style w:type="paragraph" w:styleId="FootnoteText">
    <w:name w:val="footnote text"/>
    <w:basedOn w:val="Normal"/>
    <w:link w:val="FootnoteTextChar"/>
    <w:uiPriority w:val="99"/>
    <w:unhideWhenUsed/>
    <w:rsid w:val="004571DB"/>
    <w:rPr>
      <w:sz w:val="20"/>
      <w:szCs w:val="20"/>
    </w:rPr>
  </w:style>
  <w:style w:type="character" w:customStyle="1" w:styleId="FootnoteTextChar">
    <w:name w:val="Footnote Text Char"/>
    <w:basedOn w:val="DefaultParagraphFont"/>
    <w:link w:val="FootnoteText"/>
    <w:uiPriority w:val="99"/>
    <w:rsid w:val="004571DB"/>
    <w:rPr>
      <w:sz w:val="20"/>
      <w:szCs w:val="20"/>
    </w:rPr>
  </w:style>
  <w:style w:type="character" w:styleId="FootnoteReference">
    <w:name w:val="footnote reference"/>
    <w:basedOn w:val="DefaultParagraphFont"/>
    <w:uiPriority w:val="99"/>
    <w:unhideWhenUsed/>
    <w:rsid w:val="004571DB"/>
    <w:rPr>
      <w:vertAlign w:val="superscript"/>
    </w:rPr>
  </w:style>
  <w:style w:type="character" w:styleId="CommentReference">
    <w:name w:val="annotation reference"/>
    <w:basedOn w:val="DefaultParagraphFont"/>
    <w:uiPriority w:val="99"/>
    <w:semiHidden/>
    <w:unhideWhenUsed/>
    <w:rsid w:val="004571DB"/>
    <w:rPr>
      <w:sz w:val="16"/>
      <w:szCs w:val="16"/>
    </w:rPr>
  </w:style>
  <w:style w:type="paragraph" w:styleId="CommentText">
    <w:name w:val="annotation text"/>
    <w:basedOn w:val="Normal"/>
    <w:link w:val="CommentTextChar"/>
    <w:uiPriority w:val="99"/>
    <w:semiHidden/>
    <w:unhideWhenUsed/>
    <w:rsid w:val="004571DB"/>
    <w:rPr>
      <w:sz w:val="20"/>
      <w:szCs w:val="20"/>
    </w:rPr>
  </w:style>
  <w:style w:type="character" w:customStyle="1" w:styleId="CommentTextChar">
    <w:name w:val="Comment Text Char"/>
    <w:basedOn w:val="DefaultParagraphFont"/>
    <w:link w:val="CommentText"/>
    <w:uiPriority w:val="99"/>
    <w:semiHidden/>
    <w:rsid w:val="004571DB"/>
    <w:rPr>
      <w:sz w:val="20"/>
      <w:szCs w:val="20"/>
    </w:rPr>
  </w:style>
  <w:style w:type="paragraph" w:styleId="CommentSubject">
    <w:name w:val="annotation subject"/>
    <w:basedOn w:val="CommentText"/>
    <w:next w:val="CommentText"/>
    <w:link w:val="CommentSubjectChar"/>
    <w:uiPriority w:val="99"/>
    <w:semiHidden/>
    <w:unhideWhenUsed/>
    <w:rsid w:val="002165AE"/>
    <w:rPr>
      <w:b/>
      <w:bCs/>
    </w:rPr>
  </w:style>
  <w:style w:type="character" w:customStyle="1" w:styleId="CommentSubjectChar">
    <w:name w:val="Comment Subject Char"/>
    <w:basedOn w:val="CommentTextChar"/>
    <w:link w:val="CommentSubject"/>
    <w:uiPriority w:val="99"/>
    <w:semiHidden/>
    <w:rsid w:val="00216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677">
      <w:bodyDiv w:val="1"/>
      <w:marLeft w:val="0"/>
      <w:marRight w:val="0"/>
      <w:marTop w:val="0"/>
      <w:marBottom w:val="0"/>
      <w:divBdr>
        <w:top w:val="none" w:sz="0" w:space="0" w:color="auto"/>
        <w:left w:val="none" w:sz="0" w:space="0" w:color="auto"/>
        <w:bottom w:val="none" w:sz="0" w:space="0" w:color="auto"/>
        <w:right w:val="none" w:sz="0" w:space="0" w:color="auto"/>
      </w:divBdr>
    </w:div>
    <w:div w:id="185874397">
      <w:bodyDiv w:val="1"/>
      <w:marLeft w:val="0"/>
      <w:marRight w:val="0"/>
      <w:marTop w:val="0"/>
      <w:marBottom w:val="0"/>
      <w:divBdr>
        <w:top w:val="none" w:sz="0" w:space="0" w:color="auto"/>
        <w:left w:val="none" w:sz="0" w:space="0" w:color="auto"/>
        <w:bottom w:val="none" w:sz="0" w:space="0" w:color="auto"/>
        <w:right w:val="none" w:sz="0" w:space="0" w:color="auto"/>
      </w:divBdr>
      <w:divsChild>
        <w:div w:id="2125490337">
          <w:marLeft w:val="0"/>
          <w:marRight w:val="240"/>
          <w:marTop w:val="0"/>
          <w:marBottom w:val="0"/>
          <w:divBdr>
            <w:top w:val="none" w:sz="0" w:space="0" w:color="auto"/>
            <w:left w:val="none" w:sz="0" w:space="0" w:color="auto"/>
            <w:bottom w:val="none" w:sz="0" w:space="0" w:color="auto"/>
            <w:right w:val="none" w:sz="0" w:space="0" w:color="auto"/>
          </w:divBdr>
          <w:divsChild>
            <w:div w:id="1815028478">
              <w:marLeft w:val="0"/>
              <w:marRight w:val="0"/>
              <w:marTop w:val="0"/>
              <w:marBottom w:val="0"/>
              <w:divBdr>
                <w:top w:val="none" w:sz="0" w:space="0" w:color="auto"/>
                <w:left w:val="none" w:sz="0" w:space="0" w:color="auto"/>
                <w:bottom w:val="none" w:sz="0" w:space="0" w:color="auto"/>
                <w:right w:val="none" w:sz="0" w:space="0" w:color="auto"/>
              </w:divBdr>
              <w:divsChild>
                <w:div w:id="1952350036">
                  <w:marLeft w:val="0"/>
                  <w:marRight w:val="0"/>
                  <w:marTop w:val="0"/>
                  <w:marBottom w:val="0"/>
                  <w:divBdr>
                    <w:top w:val="none" w:sz="0" w:space="0" w:color="auto"/>
                    <w:left w:val="none" w:sz="0" w:space="0" w:color="auto"/>
                    <w:bottom w:val="none" w:sz="0" w:space="0" w:color="auto"/>
                    <w:right w:val="none" w:sz="0" w:space="0" w:color="auto"/>
                  </w:divBdr>
                  <w:divsChild>
                    <w:div w:id="1184905243">
                      <w:marLeft w:val="0"/>
                      <w:marRight w:val="0"/>
                      <w:marTop w:val="0"/>
                      <w:marBottom w:val="0"/>
                      <w:divBdr>
                        <w:top w:val="none" w:sz="0" w:space="0" w:color="auto"/>
                        <w:left w:val="none" w:sz="0" w:space="0" w:color="auto"/>
                        <w:bottom w:val="none" w:sz="0" w:space="0" w:color="auto"/>
                        <w:right w:val="none" w:sz="0" w:space="0" w:color="auto"/>
                      </w:divBdr>
                      <w:divsChild>
                        <w:div w:id="114642167">
                          <w:marLeft w:val="0"/>
                          <w:marRight w:val="0"/>
                          <w:marTop w:val="0"/>
                          <w:marBottom w:val="0"/>
                          <w:divBdr>
                            <w:top w:val="none" w:sz="0" w:space="0" w:color="auto"/>
                            <w:left w:val="none" w:sz="0" w:space="0" w:color="auto"/>
                            <w:bottom w:val="none" w:sz="0" w:space="0" w:color="auto"/>
                            <w:right w:val="none" w:sz="0" w:space="0" w:color="auto"/>
                          </w:divBdr>
                          <w:divsChild>
                            <w:div w:id="112746703">
                              <w:marLeft w:val="0"/>
                              <w:marRight w:val="0"/>
                              <w:marTop w:val="0"/>
                              <w:marBottom w:val="0"/>
                              <w:divBdr>
                                <w:top w:val="none" w:sz="0" w:space="0" w:color="auto"/>
                                <w:left w:val="none" w:sz="0" w:space="0" w:color="auto"/>
                                <w:bottom w:val="none" w:sz="0" w:space="0" w:color="auto"/>
                                <w:right w:val="none" w:sz="0" w:space="0" w:color="auto"/>
                              </w:divBdr>
                              <w:divsChild>
                                <w:div w:id="1413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6965">
                          <w:marLeft w:val="0"/>
                          <w:marRight w:val="0"/>
                          <w:marTop w:val="0"/>
                          <w:marBottom w:val="0"/>
                          <w:divBdr>
                            <w:top w:val="none" w:sz="0" w:space="0" w:color="auto"/>
                            <w:left w:val="none" w:sz="0" w:space="0" w:color="auto"/>
                            <w:bottom w:val="none" w:sz="0" w:space="0" w:color="auto"/>
                            <w:right w:val="none" w:sz="0" w:space="0" w:color="auto"/>
                          </w:divBdr>
                          <w:divsChild>
                            <w:div w:id="512458396">
                              <w:marLeft w:val="0"/>
                              <w:marRight w:val="0"/>
                              <w:marTop w:val="0"/>
                              <w:marBottom w:val="0"/>
                              <w:divBdr>
                                <w:top w:val="none" w:sz="0" w:space="0" w:color="auto"/>
                                <w:left w:val="none" w:sz="0" w:space="0" w:color="auto"/>
                                <w:bottom w:val="none" w:sz="0" w:space="0" w:color="auto"/>
                                <w:right w:val="none" w:sz="0" w:space="0" w:color="auto"/>
                              </w:divBdr>
                              <w:divsChild>
                                <w:div w:id="9584162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09740">
          <w:marLeft w:val="0"/>
          <w:marRight w:val="0"/>
          <w:marTop w:val="0"/>
          <w:marBottom w:val="0"/>
          <w:divBdr>
            <w:top w:val="none" w:sz="0" w:space="0" w:color="auto"/>
            <w:left w:val="none" w:sz="0" w:space="0" w:color="auto"/>
            <w:bottom w:val="none" w:sz="0" w:space="0" w:color="auto"/>
            <w:right w:val="none" w:sz="0" w:space="0" w:color="auto"/>
          </w:divBdr>
          <w:divsChild>
            <w:div w:id="571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491">
      <w:bodyDiv w:val="1"/>
      <w:marLeft w:val="0"/>
      <w:marRight w:val="0"/>
      <w:marTop w:val="0"/>
      <w:marBottom w:val="0"/>
      <w:divBdr>
        <w:top w:val="none" w:sz="0" w:space="0" w:color="auto"/>
        <w:left w:val="none" w:sz="0" w:space="0" w:color="auto"/>
        <w:bottom w:val="none" w:sz="0" w:space="0" w:color="auto"/>
        <w:right w:val="none" w:sz="0" w:space="0" w:color="auto"/>
      </w:divBdr>
      <w:divsChild>
        <w:div w:id="249894341">
          <w:marLeft w:val="0"/>
          <w:marRight w:val="0"/>
          <w:marTop w:val="0"/>
          <w:marBottom w:val="0"/>
          <w:divBdr>
            <w:top w:val="none" w:sz="0" w:space="0" w:color="auto"/>
            <w:left w:val="none" w:sz="0" w:space="0" w:color="auto"/>
            <w:bottom w:val="none" w:sz="0" w:space="0" w:color="auto"/>
            <w:right w:val="none" w:sz="0" w:space="0" w:color="auto"/>
          </w:divBdr>
          <w:divsChild>
            <w:div w:id="341009445">
              <w:marLeft w:val="0"/>
              <w:marRight w:val="0"/>
              <w:marTop w:val="0"/>
              <w:marBottom w:val="0"/>
              <w:divBdr>
                <w:top w:val="none" w:sz="0" w:space="0" w:color="auto"/>
                <w:left w:val="none" w:sz="0" w:space="0" w:color="auto"/>
                <w:bottom w:val="none" w:sz="0" w:space="0" w:color="auto"/>
                <w:right w:val="none" w:sz="0" w:space="0" w:color="auto"/>
              </w:divBdr>
              <w:divsChild>
                <w:div w:id="2093351867">
                  <w:marLeft w:val="0"/>
                  <w:marRight w:val="0"/>
                  <w:marTop w:val="0"/>
                  <w:marBottom w:val="0"/>
                  <w:divBdr>
                    <w:top w:val="none" w:sz="0" w:space="0" w:color="auto"/>
                    <w:left w:val="none" w:sz="0" w:space="0" w:color="auto"/>
                    <w:bottom w:val="none" w:sz="0" w:space="0" w:color="auto"/>
                    <w:right w:val="none" w:sz="0" w:space="0" w:color="auto"/>
                  </w:divBdr>
                  <w:divsChild>
                    <w:div w:id="14184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oore-2@postgrad.manch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6B02-69B3-F74F-A92C-F0019971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Moore</dc:creator>
  <cp:keywords/>
  <dc:description/>
  <cp:lastModifiedBy>Joe Moore</cp:lastModifiedBy>
  <cp:revision>38</cp:revision>
  <dcterms:created xsi:type="dcterms:W3CDTF">2025-01-23T15:39:00Z</dcterms:created>
  <dcterms:modified xsi:type="dcterms:W3CDTF">2025-01-24T23:18:00Z</dcterms:modified>
</cp:coreProperties>
</file>